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AF" w:rsidRDefault="00B6504E" w:rsidP="00C56AB4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BA6640" wp14:editId="7FF1A500">
            <wp:simplePos x="0" y="0"/>
            <wp:positionH relativeFrom="column">
              <wp:posOffset>-68580</wp:posOffset>
            </wp:positionH>
            <wp:positionV relativeFrom="paragraph">
              <wp:posOffset>9525</wp:posOffset>
            </wp:positionV>
            <wp:extent cx="1458000" cy="403200"/>
            <wp:effectExtent l="0" t="0" r="0" b="0"/>
            <wp:wrapTight wrapText="bothSides">
              <wp:wrapPolygon edited="0">
                <wp:start x="1693" y="0"/>
                <wp:lineTo x="0" y="3066"/>
                <wp:lineTo x="0" y="10221"/>
                <wp:lineTo x="1976" y="20442"/>
                <wp:lineTo x="2258" y="20442"/>
                <wp:lineTo x="13547" y="20442"/>
                <wp:lineTo x="13547" y="16353"/>
                <wp:lineTo x="21167" y="15331"/>
                <wp:lineTo x="21167" y="8177"/>
                <wp:lineTo x="4516" y="0"/>
                <wp:lineTo x="1693" y="0"/>
              </wp:wrapPolygon>
            </wp:wrapTight>
            <wp:docPr id="1" name="Obrázek 1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EAF" w:rsidRDefault="00004EAF" w:rsidP="00C56AB4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</w:p>
    <w:p w:rsidR="00B6504E" w:rsidRDefault="00B6504E" w:rsidP="00C56AB4">
      <w:pPr>
        <w:pStyle w:val="Nzev"/>
        <w:jc w:val="left"/>
        <w:rPr>
          <w:rFonts w:ascii="Arial Black" w:hAnsi="Arial Black"/>
          <w:b w:val="0"/>
          <w:sz w:val="20"/>
          <w:u w:val="thick"/>
        </w:rPr>
      </w:pPr>
    </w:p>
    <w:p w:rsidR="00004EAF" w:rsidRDefault="00004EAF" w:rsidP="00C56AB4">
      <w:pPr>
        <w:pStyle w:val="Nzev"/>
        <w:jc w:val="left"/>
        <w:rPr>
          <w:rFonts w:ascii="Arial Narrow" w:hAnsi="Arial Narrow"/>
          <w:b w:val="0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rFonts w:ascii="Arial Black" w:hAnsi="Arial Black"/>
          <w:sz w:val="20"/>
          <w:u w:val="thick"/>
        </w:rPr>
        <w:t xml:space="preserve"> </w:t>
      </w:r>
      <w:r>
        <w:rPr>
          <w:sz w:val="16"/>
          <w:u w:val="thick"/>
        </w:rPr>
        <w:t xml:space="preserve">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004EAF" w:rsidRDefault="00004EAF">
      <w:pPr>
        <w:rPr>
          <w:rFonts w:ascii="Arial Black" w:hAnsi="Arial Black"/>
          <w:sz w:val="16"/>
          <w:u w:val="single"/>
        </w:rPr>
      </w:pPr>
    </w:p>
    <w:p w:rsidR="00004EAF" w:rsidRDefault="00004EAF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>Transfuzní přípravek, který jste obdrželi, byl vyroben za dodržení všech definovaných postupů</w:t>
      </w:r>
      <w:r w:rsidR="00B6504E">
        <w:rPr>
          <w:rFonts w:ascii="Arial Narrow" w:hAnsi="Arial Narrow"/>
          <w:spacing w:val="8"/>
          <w:sz w:val="16"/>
        </w:rPr>
        <w:t xml:space="preserve">     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004EAF" w:rsidRDefault="00004EAF">
      <w:pPr>
        <w:pStyle w:val="Zkladntext"/>
        <w:jc w:val="both"/>
        <w:rPr>
          <w:rFonts w:ascii="Arial Black" w:hAnsi="Arial Black"/>
          <w:sz w:val="16"/>
          <w:u w:val="single"/>
        </w:rPr>
      </w:pPr>
      <w:r>
        <w:t xml:space="preserve">                       </w:t>
      </w:r>
    </w:p>
    <w:p w:rsidR="00004EAF" w:rsidRDefault="00004EAF">
      <w:pPr>
        <w:rPr>
          <w:rFonts w:ascii="Arial Black" w:hAnsi="Arial Black"/>
          <w:b/>
          <w:sz w:val="18"/>
        </w:rPr>
      </w:pPr>
      <w:r>
        <w:rPr>
          <w:rFonts w:ascii="Arial Black" w:hAnsi="Arial Black"/>
          <w:sz w:val="16"/>
          <w:u w:val="single"/>
        </w:rPr>
        <w:t>NÁZEV</w:t>
      </w:r>
      <w:r w:rsidRPr="000005E0">
        <w:rPr>
          <w:rFonts w:ascii="Arial Black" w:hAnsi="Arial Black"/>
          <w:b/>
          <w:sz w:val="16"/>
          <w:u w:val="single"/>
        </w:rPr>
        <w:t>:</w:t>
      </w:r>
      <w:r>
        <w:rPr>
          <w:rFonts w:ascii="Arial Black" w:hAnsi="Arial Black"/>
          <w:b/>
          <w:sz w:val="16"/>
        </w:rPr>
        <w:tab/>
        <w:t xml:space="preserve">       AUTOLOGNÍ ODBĚR: </w:t>
      </w:r>
      <w:r>
        <w:rPr>
          <w:rFonts w:ascii="Arial Black" w:hAnsi="Arial Black"/>
          <w:b/>
          <w:sz w:val="18"/>
        </w:rPr>
        <w:t xml:space="preserve">ERYTROCYTY RESUSPENDOVANÉ </w:t>
      </w:r>
    </w:p>
    <w:p w:rsidR="00004EAF" w:rsidRDefault="00004EAF">
      <w:pPr>
        <w:rPr>
          <w:rFonts w:ascii="Arial Black" w:hAnsi="Arial Black"/>
          <w:b/>
          <w:sz w:val="18"/>
        </w:rPr>
      </w:pPr>
      <w:r>
        <w:rPr>
          <w:rFonts w:ascii="Arial Black" w:hAnsi="Arial Black"/>
          <w:b/>
          <w:sz w:val="18"/>
        </w:rPr>
        <w:t xml:space="preserve">                  DELEUKOTIZOVANÉ    </w:t>
      </w:r>
    </w:p>
    <w:p w:rsidR="00004EAF" w:rsidRPr="00C56AB4" w:rsidRDefault="00004EAF">
      <w:pPr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8"/>
        </w:rPr>
        <w:t xml:space="preserve">                  </w:t>
      </w:r>
    </w:p>
    <w:p w:rsidR="00004EAF" w:rsidRDefault="00004EAF">
      <w:pPr>
        <w:rPr>
          <w:rFonts w:ascii="Arial Black" w:hAnsi="Arial Black"/>
          <w:sz w:val="18"/>
        </w:rPr>
      </w:pPr>
      <w:proofErr w:type="gramStart"/>
      <w:r>
        <w:rPr>
          <w:rFonts w:ascii="Arial Black" w:hAnsi="Arial Black"/>
          <w:caps/>
          <w:sz w:val="16"/>
          <w:u w:val="single"/>
        </w:rPr>
        <w:t>Zkratka:</w:t>
      </w:r>
      <w:r>
        <w:rPr>
          <w:rFonts w:ascii="Arial" w:hAnsi="Arial"/>
          <w:caps/>
          <w:sz w:val="18"/>
        </w:rPr>
        <w:t xml:space="preserve">   </w:t>
      </w:r>
      <w:proofErr w:type="gramEnd"/>
      <w:r w:rsidRPr="007A66C5">
        <w:rPr>
          <w:rFonts w:ascii="Arial Black" w:hAnsi="Arial Black"/>
          <w:b/>
          <w:caps/>
          <w:sz w:val="18"/>
        </w:rPr>
        <w:t>AE</w:t>
      </w:r>
      <w:r>
        <w:rPr>
          <w:rFonts w:ascii="Arial Black" w:hAnsi="Arial Black"/>
          <w:b/>
          <w:sz w:val="18"/>
        </w:rPr>
        <w:t>RD</w:t>
      </w:r>
    </w:p>
    <w:p w:rsidR="00004EAF" w:rsidRDefault="00004EAF" w:rsidP="000005E0">
      <w:pPr>
        <w:tabs>
          <w:tab w:val="left" w:pos="2116"/>
        </w:tabs>
        <w:rPr>
          <w:rFonts w:ascii="Arial Black" w:hAnsi="Arial Black"/>
          <w:sz w:val="14"/>
          <w:u w:val="single"/>
        </w:rPr>
      </w:pPr>
    </w:p>
    <w:p w:rsidR="00004EAF" w:rsidRDefault="00004EAF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004EAF" w:rsidRDefault="00004EAF">
      <w:pPr>
        <w:pStyle w:val="Zkladntextodsazen3"/>
        <w:ind w:left="0"/>
        <w:jc w:val="both"/>
      </w:pPr>
      <w:r>
        <w:t xml:space="preserve">Transfuzní oddělení Fakultní nemocnice Olomouc, </w:t>
      </w:r>
      <w:r w:rsidR="00F714E4">
        <w:t>Zdravotníků 248/7</w:t>
      </w:r>
      <w:r>
        <w:t>, 779 00 Olomouc – C 2059.</w:t>
      </w:r>
    </w:p>
    <w:p w:rsidR="00004EAF" w:rsidRDefault="00004EAF">
      <w:pPr>
        <w:rPr>
          <w:rFonts w:ascii="Arial" w:hAnsi="Arial"/>
          <w:b/>
          <w:sz w:val="14"/>
          <w:u w:val="thick"/>
        </w:rPr>
      </w:pPr>
    </w:p>
    <w:p w:rsidR="00004EAF" w:rsidRDefault="00004EAF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Složení:</w:t>
      </w:r>
    </w:p>
    <w:p w:rsidR="00004EAF" w:rsidRDefault="00004EAF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koncentrát erytrocytů,</w:t>
      </w:r>
    </w:p>
    <w:p w:rsidR="00004EAF" w:rsidRDefault="00004EAF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antikoagulační roztok CPD,</w:t>
      </w:r>
    </w:p>
    <w:p w:rsidR="00004EAF" w:rsidRDefault="00004EAF">
      <w:pPr>
        <w:pStyle w:val="Seznamsodrkami"/>
        <w:numPr>
          <w:ilvl w:val="0"/>
          <w:numId w:val="36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proofErr w:type="spellStart"/>
      <w:r>
        <w:rPr>
          <w:b w:val="0"/>
          <w:u w:val="none"/>
        </w:rPr>
        <w:t>resuspenzní</w:t>
      </w:r>
      <w:proofErr w:type="spellEnd"/>
      <w:r>
        <w:rPr>
          <w:b w:val="0"/>
          <w:u w:val="none"/>
        </w:rPr>
        <w:t xml:space="preserve"> roztok SAGM 100 ml.</w:t>
      </w:r>
    </w:p>
    <w:p w:rsidR="00004EAF" w:rsidRDefault="00004EAF">
      <w:pPr>
        <w:rPr>
          <w:rFonts w:ascii="Arial" w:hAnsi="Arial"/>
          <w:b/>
          <w:sz w:val="14"/>
          <w:u w:val="single"/>
        </w:rPr>
      </w:pPr>
    </w:p>
    <w:p w:rsidR="00004EAF" w:rsidRDefault="00004EAF">
      <w:pPr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</w:p>
    <w:p w:rsidR="00004EAF" w:rsidRPr="001A0878" w:rsidRDefault="00004EAF">
      <w:pPr>
        <w:jc w:val="both"/>
        <w:rPr>
          <w:rFonts w:ascii="Arial" w:hAnsi="Arial"/>
          <w:sz w:val="14"/>
        </w:rPr>
      </w:pPr>
      <w:r w:rsidRPr="001A0878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0507951</w:t>
      </w:r>
    </w:p>
    <w:p w:rsidR="00004EAF" w:rsidRDefault="00004EAF">
      <w:pPr>
        <w:jc w:val="both"/>
        <w:rPr>
          <w:rFonts w:ascii="Arial" w:hAnsi="Arial"/>
          <w:sz w:val="14"/>
          <w:u w:val="single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004EAF" w:rsidRPr="002A25DE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AERD je transfuzní přípravek, který slouží výhradně k </w:t>
      </w:r>
      <w:proofErr w:type="spellStart"/>
      <w:r>
        <w:rPr>
          <w:rFonts w:ascii="Arial" w:hAnsi="Arial"/>
          <w:sz w:val="14"/>
        </w:rPr>
        <w:t>hemoterapii</w:t>
      </w:r>
      <w:proofErr w:type="spellEnd"/>
      <w:r>
        <w:rPr>
          <w:rFonts w:ascii="Arial" w:hAnsi="Arial"/>
          <w:sz w:val="14"/>
        </w:rPr>
        <w:t xml:space="preserve"> pacienta, kterému byl odebrán.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AERD</w:t>
      </w:r>
      <w:r w:rsidR="00FE7D0E">
        <w:rPr>
          <w:rFonts w:ascii="Arial" w:hAnsi="Arial"/>
          <w:sz w:val="14"/>
        </w:rPr>
        <w:t xml:space="preserve"> je koncentrát erytrocytů získaný odsátím plazmy po centrifugaci plné krve a následné in</w:t>
      </w:r>
      <w:r w:rsidR="00B6504E">
        <w:rPr>
          <w:rFonts w:ascii="Arial" w:hAnsi="Arial"/>
          <w:sz w:val="14"/>
        </w:rPr>
        <w:t>-</w:t>
      </w:r>
      <w:r w:rsidR="00FE7D0E">
        <w:rPr>
          <w:rFonts w:ascii="Arial" w:hAnsi="Arial"/>
          <w:sz w:val="14"/>
        </w:rPr>
        <w:t xml:space="preserve">line filtraci erytrocytů a jejich následnou </w:t>
      </w:r>
      <w:proofErr w:type="spellStart"/>
      <w:r w:rsidR="00FE7D0E">
        <w:rPr>
          <w:rFonts w:ascii="Arial" w:hAnsi="Arial"/>
          <w:sz w:val="14"/>
        </w:rPr>
        <w:t>resuspenzí</w:t>
      </w:r>
      <w:proofErr w:type="spellEnd"/>
      <w:r>
        <w:rPr>
          <w:rFonts w:ascii="Arial" w:hAnsi="Arial"/>
          <w:sz w:val="14"/>
        </w:rPr>
        <w:t>.</w:t>
      </w: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Indikace:</w:t>
      </w:r>
    </w:p>
    <w:p w:rsidR="00004EAF" w:rsidRDefault="00004EAF" w:rsidP="002A25DE">
      <w:pPr>
        <w:pStyle w:val="Zkladntextodsazen"/>
        <w:numPr>
          <w:ilvl w:val="0"/>
          <w:numId w:val="41"/>
        </w:numPr>
        <w:tabs>
          <w:tab w:val="num" w:pos="360"/>
        </w:tabs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náhrada krevních ztrát v průběhu nebo po plánovaných chirurgických výkonech.</w:t>
      </w:r>
    </w:p>
    <w:p w:rsidR="00004EAF" w:rsidRDefault="00004EAF">
      <w:pPr>
        <w:pStyle w:val="Zkladntextodsazen"/>
        <w:spacing w:after="0"/>
        <w:ind w:left="0"/>
        <w:jc w:val="both"/>
        <w:rPr>
          <w:rFonts w:ascii="Arial" w:hAnsi="Arial"/>
          <w:sz w:val="14"/>
          <w:u w:val="single"/>
        </w:rPr>
      </w:pPr>
    </w:p>
    <w:p w:rsidR="00004EAF" w:rsidRDefault="00004EAF">
      <w:pPr>
        <w:pStyle w:val="Zkladntextodsazen"/>
        <w:spacing w:after="0"/>
        <w:ind w:left="0"/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Kontraindikace:</w:t>
      </w:r>
    </w:p>
    <w:p w:rsidR="00004EAF" w:rsidRDefault="00004EAF">
      <w:pPr>
        <w:pStyle w:val="Seznamsodrkami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relativní hypervolémie,</w:t>
      </w:r>
    </w:p>
    <w:p w:rsidR="00004EAF" w:rsidRDefault="00004EAF">
      <w:pPr>
        <w:pStyle w:val="Seznamsodrkami"/>
        <w:numPr>
          <w:ilvl w:val="0"/>
          <w:numId w:val="39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v případech, kde lze dosáhnout normalizace krevního obrazu jiným způsobem léčby.</w:t>
      </w:r>
    </w:p>
    <w:p w:rsidR="00004EAF" w:rsidRDefault="00004EAF">
      <w:pPr>
        <w:jc w:val="both"/>
        <w:rPr>
          <w:rFonts w:ascii="Arial" w:hAnsi="Arial"/>
          <w:sz w:val="14"/>
        </w:rPr>
      </w:pPr>
    </w:p>
    <w:p w:rsidR="00004EAF" w:rsidRDefault="00004EAF">
      <w:pPr>
        <w:jc w:val="both"/>
        <w:rPr>
          <w:rFonts w:ascii="Arial" w:hAnsi="Arial"/>
          <w:b/>
          <w:sz w:val="10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přetížení oběhu,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hemolytická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horečka, třesavka),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004EAF" w:rsidRDefault="00004EAF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purpura.</w:t>
      </w:r>
    </w:p>
    <w:p w:rsidR="00004EAF" w:rsidRDefault="00004EAF">
      <w:pPr>
        <w:jc w:val="both"/>
        <w:rPr>
          <w:rFonts w:ascii="Arial" w:hAnsi="Arial"/>
          <w:sz w:val="14"/>
          <w:u w:val="single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004EAF" w:rsidRDefault="00004EAF">
      <w:pPr>
        <w:jc w:val="both"/>
        <w:rPr>
          <w:rFonts w:ascii="Arial" w:hAnsi="Arial"/>
          <w:sz w:val="14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Obvykle se krevní transfuze podává při klinických známkách nedostatečného sycení kyslíkem. Jedna transfuzní jednotka AERD zlepšuje hematokrit u dospělého přibližně o 0,2.</w:t>
      </w:r>
    </w:p>
    <w:p w:rsidR="00004EAF" w:rsidRDefault="00004EAF">
      <w:pPr>
        <w:pStyle w:val="Seznamsodrkami"/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 xml:space="preserve">Přípravek se podává intravenózně transfuzním setem s filtrem o velikosti pórů 170 </w:t>
      </w:r>
      <w:r>
        <w:rPr>
          <w:b w:val="0"/>
          <w:szCs w:val="14"/>
          <w:u w:val="none"/>
        </w:rPr>
        <w:sym w:font="Symbol" w:char="F06D"/>
      </w:r>
      <w:r>
        <w:rPr>
          <w:b w:val="0"/>
          <w:u w:val="none"/>
        </w:rPr>
        <w:t xml:space="preserve">m až 200 </w:t>
      </w:r>
      <w:r>
        <w:rPr>
          <w:b w:val="0"/>
          <w:szCs w:val="14"/>
          <w:u w:val="none"/>
        </w:rPr>
        <w:sym w:font="Symbol" w:char="F06D"/>
      </w:r>
      <w:r>
        <w:rPr>
          <w:b w:val="0"/>
          <w:u w:val="none"/>
        </w:rPr>
        <w:t xml:space="preserve">m. </w:t>
      </w:r>
    </w:p>
    <w:p w:rsidR="00004EAF" w:rsidRDefault="00004EAF">
      <w:pPr>
        <w:pStyle w:val="Seznamsodrkami"/>
        <w:numPr>
          <w:ilvl w:val="0"/>
          <w:numId w:val="4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Kontrola vnějšího vzhledu přípravku se zaměřením na možnou hemolýzu, sraženiny a neporušenost obalu.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lastRenderedPageBreak/>
        <w:t xml:space="preserve">Kontrola dokumentace, čísla a typu transfuzního přípravku, doby použitelnosti, skupiny v AB0 </w:t>
      </w:r>
      <w:r w:rsidR="003855F4">
        <w:rPr>
          <w:b w:val="0"/>
          <w:u w:val="none"/>
        </w:rPr>
        <w:t xml:space="preserve">                   </w:t>
      </w:r>
      <w:r>
        <w:rPr>
          <w:b w:val="0"/>
          <w:u w:val="none"/>
        </w:rPr>
        <w:t xml:space="preserve">a </w:t>
      </w:r>
      <w:proofErr w:type="spellStart"/>
      <w:r>
        <w:rPr>
          <w:b w:val="0"/>
          <w:u w:val="none"/>
        </w:rPr>
        <w:t>RhD</w:t>
      </w:r>
      <w:proofErr w:type="spellEnd"/>
      <w:r>
        <w:rPr>
          <w:b w:val="0"/>
          <w:u w:val="none"/>
        </w:rPr>
        <w:t xml:space="preserve"> systému.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 xml:space="preserve">Provést povinnou zajišťovací zkoušku. 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Před a po transfuzi zkontrolovat u pacienta TK, puls, tělesnou teplotu.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Při začátku transfuze provést biologickou zkoušku dle klinické potřeby.</w:t>
      </w:r>
    </w:p>
    <w:p w:rsidR="00004EAF" w:rsidRDefault="00004EAF">
      <w:pPr>
        <w:pStyle w:val="Seznamsodrkami"/>
        <w:numPr>
          <w:ilvl w:val="0"/>
          <w:numId w:val="37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Po ukončení transfuze ponechat zbytek přípravku (nejméně 10 ml) ve vaku na dobu 24 hodin v chladničce.</w:t>
      </w:r>
    </w:p>
    <w:p w:rsidR="00004EAF" w:rsidRDefault="00004EAF">
      <w:pPr>
        <w:pStyle w:val="Seznamsodrkami"/>
        <w:rPr>
          <w:b w:val="0"/>
          <w:u w:val="none"/>
        </w:rPr>
      </w:pPr>
    </w:p>
    <w:p w:rsidR="00004EAF" w:rsidRDefault="00004EAF">
      <w:pPr>
        <w:pStyle w:val="Seznamsodrkami"/>
      </w:pPr>
      <w:r>
        <w:t>Upozornění:</w:t>
      </w:r>
    </w:p>
    <w:p w:rsidR="00004EAF" w:rsidRPr="00687438" w:rsidRDefault="00004EAF" w:rsidP="00687438">
      <w:pPr>
        <w:pStyle w:val="Seznamsodrkami"/>
        <w:numPr>
          <w:ilvl w:val="0"/>
          <w:numId w:val="38"/>
        </w:numPr>
        <w:tabs>
          <w:tab w:val="clear" w:pos="720"/>
          <w:tab w:val="num" w:pos="360"/>
        </w:tabs>
        <w:ind w:left="360"/>
        <w:rPr>
          <w:b w:val="0"/>
          <w:u w:val="none"/>
        </w:rPr>
      </w:pPr>
      <w:r>
        <w:rPr>
          <w:b w:val="0"/>
          <w:u w:val="none"/>
        </w:rPr>
        <w:t>Před vydáním AERD se neprovádí test slučitelnosti, ale pouze kontrola shody krevní skupiny pacienta a transfuzního přípravku.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lze vrátit zpět na transfuzní oddělení (krevní banku) pouze výjimečně, a to po předchozí domluvě.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Pokud nebyl přípravek aplikován, musí být tato skutečnost písemně nahlášena transfuznímu oddělení (krevní bance) a zaznamenán údaj o naložení s ním.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</w:t>
      </w:r>
      <w:r w:rsidR="003855F4">
        <w:rPr>
          <w:rFonts w:ascii="Arial" w:hAnsi="Arial"/>
          <w:sz w:val="14"/>
        </w:rPr>
        <w:t xml:space="preserve">              </w:t>
      </w:r>
      <w:proofErr w:type="gramStart"/>
      <w:r w:rsidR="003855F4">
        <w:rPr>
          <w:rFonts w:ascii="Arial" w:hAnsi="Arial"/>
          <w:sz w:val="14"/>
        </w:rPr>
        <w:t xml:space="preserve">   </w:t>
      </w:r>
      <w:r>
        <w:rPr>
          <w:rFonts w:ascii="Arial" w:hAnsi="Arial"/>
          <w:sz w:val="14"/>
        </w:rPr>
        <w:t>(</w:t>
      </w:r>
      <w:proofErr w:type="gramEnd"/>
      <w:r>
        <w:rPr>
          <w:rFonts w:ascii="Arial" w:hAnsi="Arial"/>
          <w:sz w:val="14"/>
        </w:rPr>
        <w:t>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sz w:val="16"/>
        </w:rPr>
        <w:t xml:space="preserve"> </w:t>
      </w:r>
    </w:p>
    <w:p w:rsidR="00004EAF" w:rsidRDefault="00004EAF" w:rsidP="0068743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Hlásit je třeba nežádoucí reakce související s podáním transfuze, vzniklé během transfuze i po ní nebo podezření na ně. </w:t>
      </w:r>
    </w:p>
    <w:p w:rsidR="00004EAF" w:rsidRPr="001A0878" w:rsidRDefault="00004EAF" w:rsidP="001A0878">
      <w:pPr>
        <w:pStyle w:val="Zkladntextodsazen"/>
        <w:numPr>
          <w:ilvl w:val="0"/>
          <w:numId w:val="48"/>
        </w:numPr>
        <w:tabs>
          <w:tab w:val="num" w:pos="360"/>
        </w:tabs>
        <w:autoSpaceDE/>
        <w:autoSpaceDN/>
        <w:spacing w:after="0"/>
        <w:ind w:left="360"/>
        <w:jc w:val="both"/>
        <w:rPr>
          <w:rFonts w:ascii="Arial" w:hAnsi="Arial"/>
          <w:sz w:val="14"/>
          <w:szCs w:val="14"/>
        </w:rPr>
      </w:pPr>
      <w:r w:rsidRPr="001A0878">
        <w:rPr>
          <w:rFonts w:ascii="Arial" w:hAnsi="Arial"/>
          <w:sz w:val="14"/>
          <w:szCs w:val="14"/>
        </w:rPr>
        <w:t>Vyhláška o lidské krvi (č.</w:t>
      </w:r>
      <w:r>
        <w:rPr>
          <w:rFonts w:ascii="Arial" w:hAnsi="Arial"/>
          <w:sz w:val="14"/>
          <w:szCs w:val="14"/>
        </w:rPr>
        <w:t xml:space="preserve"> </w:t>
      </w:r>
      <w:r w:rsidRPr="001A0878">
        <w:rPr>
          <w:rFonts w:ascii="Arial" w:hAnsi="Arial"/>
          <w:sz w:val="14"/>
          <w:szCs w:val="14"/>
        </w:rPr>
        <w:t xml:space="preserve">143/2008 Sb., </w:t>
      </w:r>
      <w:r w:rsidRPr="001A0878">
        <w:rPr>
          <w:rFonts w:ascii="Arial" w:hAnsi="Arial" w:cs="Arial"/>
          <w:sz w:val="14"/>
          <w:szCs w:val="14"/>
        </w:rPr>
        <w:t>§</w:t>
      </w:r>
      <w:r w:rsidRPr="001A0878">
        <w:rPr>
          <w:rFonts w:ascii="Arial" w:hAnsi="Arial"/>
          <w:sz w:val="14"/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1A0878">
          <w:rPr>
            <w:rFonts w:ascii="Arial" w:hAnsi="Arial"/>
            <w:sz w:val="14"/>
            <w:szCs w:val="14"/>
          </w:rPr>
          <w:t>1 a</w:t>
        </w:r>
      </w:smartTag>
      <w:r w:rsidRPr="001A0878">
        <w:rPr>
          <w:rFonts w:ascii="Arial" w:hAnsi="Arial"/>
          <w:sz w:val="14"/>
          <w:szCs w:val="14"/>
        </w:rPr>
        <w:t xml:space="preserve"> </w:t>
      </w:r>
      <w:r w:rsidRPr="001A0878">
        <w:rPr>
          <w:rFonts w:ascii="Arial" w:hAnsi="Arial" w:cs="Arial"/>
          <w:sz w:val="14"/>
          <w:szCs w:val="14"/>
        </w:rPr>
        <w:t>§</w:t>
      </w:r>
      <w:r>
        <w:rPr>
          <w:rFonts w:ascii="Arial" w:hAnsi="Arial" w:cs="Arial"/>
          <w:sz w:val="14"/>
          <w:szCs w:val="14"/>
        </w:rPr>
        <w:t xml:space="preserve"> </w:t>
      </w:r>
      <w:r w:rsidRPr="001A0878">
        <w:rPr>
          <w:rFonts w:ascii="Arial" w:hAnsi="Arial"/>
          <w:sz w:val="14"/>
          <w:szCs w:val="14"/>
        </w:rPr>
        <w:t xml:space="preserve">9) z důvodu zajištění </w:t>
      </w:r>
      <w:proofErr w:type="spellStart"/>
      <w:r w:rsidRPr="001A0878">
        <w:rPr>
          <w:rFonts w:ascii="Arial" w:hAnsi="Arial"/>
          <w:sz w:val="14"/>
          <w:szCs w:val="14"/>
        </w:rPr>
        <w:t>hemovigilance</w:t>
      </w:r>
      <w:proofErr w:type="spellEnd"/>
      <w:r w:rsidRPr="001A0878">
        <w:rPr>
          <w:rFonts w:ascii="Arial" w:hAnsi="Arial"/>
          <w:sz w:val="14"/>
          <w:szCs w:val="14"/>
        </w:rPr>
        <w:t xml:space="preserve"> (definice viz zákon o léčivech č.</w:t>
      </w:r>
      <w:r>
        <w:rPr>
          <w:rFonts w:ascii="Arial" w:hAnsi="Arial"/>
          <w:sz w:val="14"/>
          <w:szCs w:val="14"/>
        </w:rPr>
        <w:t xml:space="preserve"> </w:t>
      </w:r>
      <w:r w:rsidRPr="001A0878">
        <w:rPr>
          <w:rFonts w:ascii="Arial" w:hAnsi="Arial"/>
          <w:sz w:val="14"/>
          <w:szCs w:val="14"/>
        </w:rPr>
        <w:t xml:space="preserve">378/2007 Sb., </w:t>
      </w:r>
      <w:r w:rsidRPr="001A0878">
        <w:rPr>
          <w:rFonts w:ascii="Arial" w:hAnsi="Arial" w:cs="Arial"/>
          <w:sz w:val="14"/>
          <w:szCs w:val="14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3855F4">
        <w:rPr>
          <w:rFonts w:ascii="Arial" w:hAnsi="Arial" w:cs="Arial"/>
          <w:sz w:val="14"/>
          <w:szCs w:val="14"/>
        </w:rPr>
        <w:t xml:space="preserve">             </w:t>
      </w:r>
      <w:r w:rsidRPr="001A0878">
        <w:rPr>
          <w:rFonts w:ascii="Arial" w:hAnsi="Arial" w:cs="Arial"/>
          <w:sz w:val="14"/>
          <w:szCs w:val="14"/>
        </w:rPr>
        <w:t>o reakci, která je pozorována během transfuze nebo po ni a souvisí s podáním transfuzního přípravku. Pro oznámení závažné nežádoucí re</w:t>
      </w:r>
      <w:r w:rsidR="003855F4">
        <w:rPr>
          <w:rFonts w:ascii="Arial" w:hAnsi="Arial" w:cs="Arial"/>
          <w:sz w:val="14"/>
          <w:szCs w:val="14"/>
        </w:rPr>
        <w:t>a</w:t>
      </w:r>
      <w:r w:rsidRPr="001A0878">
        <w:rPr>
          <w:rFonts w:ascii="Arial" w:hAnsi="Arial" w:cs="Arial"/>
          <w:sz w:val="14"/>
          <w:szCs w:val="14"/>
        </w:rPr>
        <w:t>kce nebo podezření na ni se použije vzor oznámení uvedený v příloze č.</w:t>
      </w:r>
      <w:r>
        <w:rPr>
          <w:rFonts w:ascii="Arial" w:hAnsi="Arial" w:cs="Arial"/>
          <w:sz w:val="14"/>
          <w:szCs w:val="14"/>
        </w:rPr>
        <w:t xml:space="preserve"> </w:t>
      </w:r>
      <w:r w:rsidRPr="001A0878">
        <w:rPr>
          <w:rFonts w:ascii="Arial" w:hAnsi="Arial" w:cs="Arial"/>
          <w:sz w:val="14"/>
          <w:szCs w:val="14"/>
        </w:rPr>
        <w:t>5 části A vyhlášky nebo na www.sukl.cz.</w:t>
      </w:r>
    </w:p>
    <w:p w:rsidR="00004EAF" w:rsidRDefault="00004EAF">
      <w:pPr>
        <w:pStyle w:val="Seznamsodrkami"/>
        <w:rPr>
          <w:b w:val="0"/>
          <w:u w:val="none"/>
        </w:rPr>
      </w:pPr>
    </w:p>
    <w:p w:rsidR="00004EAF" w:rsidRDefault="00004EAF">
      <w:pPr>
        <w:pStyle w:val="Seznamsodrkami"/>
      </w:pPr>
    </w:p>
    <w:p w:rsidR="00004EAF" w:rsidRDefault="00004EAF">
      <w:pPr>
        <w:pStyle w:val="Seznamsodrkami"/>
      </w:pPr>
      <w:r>
        <w:t>Uchovávání</w:t>
      </w: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004EAF" w:rsidRDefault="00004EAF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004EAF" w:rsidRDefault="00004EAF">
      <w:pPr>
        <w:jc w:val="both"/>
        <w:rPr>
          <w:rFonts w:ascii="Arial" w:hAnsi="Arial"/>
          <w:b/>
          <w:i/>
          <w:sz w:val="14"/>
        </w:rPr>
      </w:pP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004EAF" w:rsidRDefault="00004EA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 jedné jednotky odebrané plné krve.</w:t>
      </w:r>
    </w:p>
    <w:p w:rsidR="00004EAF" w:rsidRDefault="00004EAF">
      <w:pPr>
        <w:jc w:val="both"/>
        <w:rPr>
          <w:rFonts w:ascii="Arial" w:hAnsi="Arial"/>
          <w:b/>
          <w:i/>
          <w:sz w:val="14"/>
        </w:rPr>
      </w:pPr>
    </w:p>
    <w:p w:rsidR="00004EAF" w:rsidRDefault="00004EAF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151C3B" w:rsidRPr="00151C3B" w:rsidRDefault="00004EAF" w:rsidP="00151C3B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151C3B">
        <w:rPr>
          <w:rFonts w:ascii="Arial" w:hAnsi="Arial" w:cs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151C3B" w:rsidRPr="00151C3B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</w:t>
      </w:r>
      <w:r w:rsidR="00F65162">
        <w:rPr>
          <w:rFonts w:ascii="Arial" w:hAnsi="Arial" w:cs="Arial"/>
          <w:b w:val="0"/>
          <w:i w:val="0"/>
          <w:color w:val="auto"/>
          <w:sz w:val="14"/>
        </w:rPr>
        <w:t xml:space="preserve"> </w:t>
      </w:r>
      <w:r w:rsidR="003855F4">
        <w:rPr>
          <w:rFonts w:ascii="Arial" w:hAnsi="Arial" w:cs="Arial"/>
          <w:b w:val="0"/>
          <w:i w:val="0"/>
          <w:color w:val="auto"/>
          <w:sz w:val="14"/>
        </w:rPr>
        <w:t xml:space="preserve">             </w:t>
      </w:r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 xml:space="preserve">+10,4 °C) pokud je doba transportu maximálně 24 hodin, při době transportu &gt;24 hodin se </w:t>
      </w:r>
      <w:proofErr w:type="spellStart"/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>erytrocytární</w:t>
      </w:r>
      <w:proofErr w:type="spellEnd"/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 xml:space="preserve"> TP transportují při teplotě +</w:t>
      </w:r>
      <w:smartTag w:uri="urn:schemas-microsoft-com:office:smarttags" w:element="metricconverter">
        <w:smartTagPr>
          <w:attr w:name="ProductID" w:val="2 °C"/>
        </w:smartTagPr>
        <w:r w:rsidR="00151C3B" w:rsidRPr="00151C3B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151C3B" w:rsidRPr="00151C3B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004EAF" w:rsidRDefault="00004EAF" w:rsidP="0028036E">
      <w:pPr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:rsidR="00004EAF" w:rsidRDefault="00004EA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004EAF" w:rsidRDefault="00004EAF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004EAF" w:rsidRPr="003855F4" w:rsidRDefault="00F714E4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3855F4">
        <w:rPr>
          <w:rFonts w:ascii="Arial" w:hAnsi="Arial"/>
          <w:sz w:val="14"/>
        </w:rPr>
        <w:t>Červen</w:t>
      </w:r>
      <w:proofErr w:type="gramEnd"/>
      <w:r w:rsidR="00004EAF" w:rsidRPr="003855F4">
        <w:rPr>
          <w:rFonts w:ascii="Arial" w:hAnsi="Arial"/>
          <w:sz w:val="14"/>
        </w:rPr>
        <w:t xml:space="preserve"> 20</w:t>
      </w:r>
      <w:r w:rsidRPr="003855F4">
        <w:rPr>
          <w:rFonts w:ascii="Arial" w:hAnsi="Arial"/>
          <w:sz w:val="14"/>
        </w:rPr>
        <w:t>24</w:t>
      </w:r>
      <w:r w:rsidR="00004EAF" w:rsidRPr="003855F4">
        <w:rPr>
          <w:rFonts w:ascii="Arial" w:hAnsi="Arial"/>
          <w:sz w:val="14"/>
        </w:rPr>
        <w:t xml:space="preserve"> – verze č. 0</w:t>
      </w:r>
      <w:r w:rsidRPr="003855F4">
        <w:rPr>
          <w:rFonts w:ascii="Arial" w:hAnsi="Arial"/>
          <w:sz w:val="14"/>
        </w:rPr>
        <w:t>5</w:t>
      </w:r>
    </w:p>
    <w:p w:rsidR="00004EAF" w:rsidRDefault="00004EAF">
      <w:pPr>
        <w:rPr>
          <w:rFonts w:ascii="Arial" w:hAnsi="Arial"/>
          <w:sz w:val="14"/>
        </w:rPr>
      </w:pPr>
      <w:bookmarkStart w:id="0" w:name="_GoBack"/>
      <w:bookmarkEnd w:id="0"/>
    </w:p>
    <w:sectPr w:rsidR="00004EAF" w:rsidSect="00B6504E">
      <w:footerReference w:type="default" r:id="rId8"/>
      <w:pgSz w:w="8392" w:h="11907" w:code="11"/>
      <w:pgMar w:top="567" w:right="851" w:bottom="851" w:left="851" w:header="17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EAF" w:rsidRDefault="00004EAF">
      <w:r>
        <w:separator/>
      </w:r>
    </w:p>
  </w:endnote>
  <w:endnote w:type="continuationSeparator" w:id="0">
    <w:p w:rsidR="00004EAF" w:rsidRDefault="0000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EAF" w:rsidRDefault="00DE13EC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 w:rsidR="00004EAF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F6516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004EAF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004EAF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F65162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EAF" w:rsidRDefault="00004EAF">
      <w:r>
        <w:separator/>
      </w:r>
    </w:p>
  </w:footnote>
  <w:footnote w:type="continuationSeparator" w:id="0">
    <w:p w:rsidR="00004EAF" w:rsidRDefault="0000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64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B136F"/>
    <w:multiLevelType w:val="singleLevel"/>
    <w:tmpl w:val="68BEC3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54142D"/>
    <w:multiLevelType w:val="multilevel"/>
    <w:tmpl w:val="E2B26A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A6E8D"/>
    <w:multiLevelType w:val="multilevel"/>
    <w:tmpl w:val="D6120F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4417"/>
    <w:multiLevelType w:val="multilevel"/>
    <w:tmpl w:val="ADAAC7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A2A4A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30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13F66F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E8E60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3F77EB1"/>
    <w:multiLevelType w:val="singleLevel"/>
    <w:tmpl w:val="49A838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51437C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A177307"/>
    <w:multiLevelType w:val="multilevel"/>
    <w:tmpl w:val="203AC0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F21C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B440D92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1582F1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7418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CE4DF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6E6617"/>
    <w:multiLevelType w:val="multilevel"/>
    <w:tmpl w:val="94DAF9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D6C06"/>
    <w:multiLevelType w:val="singleLevel"/>
    <w:tmpl w:val="DCE2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2A512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1830408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C35C6A"/>
    <w:multiLevelType w:val="singleLevel"/>
    <w:tmpl w:val="46160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A28E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6032F04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9C670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D76729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2092DFB"/>
    <w:multiLevelType w:val="singleLevel"/>
    <w:tmpl w:val="8D9E6974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2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52B68AE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D35540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79840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A9459AC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8"/>
  </w:num>
  <w:num w:numId="13">
    <w:abstractNumId w:val="3"/>
  </w:num>
  <w:num w:numId="14">
    <w:abstractNumId w:val="17"/>
  </w:num>
  <w:num w:numId="15">
    <w:abstractNumId w:val="7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18"/>
  </w:num>
  <w:num w:numId="21">
    <w:abstractNumId w:val="24"/>
  </w:num>
  <w:num w:numId="22">
    <w:abstractNumId w:val="9"/>
  </w:num>
  <w:num w:numId="23">
    <w:abstractNumId w:val="23"/>
  </w:num>
  <w:num w:numId="24">
    <w:abstractNumId w:val="21"/>
  </w:num>
  <w:num w:numId="25">
    <w:abstractNumId w:val="33"/>
  </w:num>
  <w:num w:numId="26">
    <w:abstractNumId w:val="14"/>
  </w:num>
  <w:num w:numId="27">
    <w:abstractNumId w:val="29"/>
  </w:num>
  <w:num w:numId="28">
    <w:abstractNumId w:val="22"/>
  </w:num>
  <w:num w:numId="29">
    <w:abstractNumId w:val="8"/>
  </w:num>
  <w:num w:numId="30">
    <w:abstractNumId w:val="25"/>
  </w:num>
  <w:num w:numId="31">
    <w:abstractNumId w:val="6"/>
  </w:num>
  <w:num w:numId="32">
    <w:abstractNumId w:val="10"/>
  </w:num>
  <w:num w:numId="33">
    <w:abstractNumId w:val="2"/>
  </w:num>
  <w:num w:numId="34">
    <w:abstractNumId w:val="15"/>
  </w:num>
  <w:num w:numId="35">
    <w:abstractNumId w:val="11"/>
  </w:num>
  <w:num w:numId="36">
    <w:abstractNumId w:val="28"/>
  </w:num>
  <w:num w:numId="37">
    <w:abstractNumId w:val="19"/>
  </w:num>
  <w:num w:numId="38">
    <w:abstractNumId w:val="27"/>
  </w:num>
  <w:num w:numId="39">
    <w:abstractNumId w:val="35"/>
  </w:num>
  <w:num w:numId="40">
    <w:abstractNumId w:val="36"/>
  </w:num>
  <w:num w:numId="41">
    <w:abstractNumId w:val="31"/>
  </w:num>
  <w:num w:numId="42">
    <w:abstractNumId w:val="16"/>
  </w:num>
  <w:num w:numId="43">
    <w:abstractNumId w:val="26"/>
  </w:num>
  <w:num w:numId="44">
    <w:abstractNumId w:val="34"/>
  </w:num>
  <w:num w:numId="45">
    <w:abstractNumId w:val="12"/>
  </w:num>
  <w:num w:numId="46">
    <w:abstractNumId w:val="37"/>
  </w:num>
  <w:num w:numId="47">
    <w:abstractNumId w:val="32"/>
  </w:num>
  <w:num w:numId="48">
    <w:abstractNumId w:val="3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B"/>
    <w:rsid w:val="000005E0"/>
    <w:rsid w:val="000040A9"/>
    <w:rsid w:val="00004EAF"/>
    <w:rsid w:val="000050EA"/>
    <w:rsid w:val="0001588F"/>
    <w:rsid w:val="00034D4C"/>
    <w:rsid w:val="00082F5F"/>
    <w:rsid w:val="000D4D49"/>
    <w:rsid w:val="000E0604"/>
    <w:rsid w:val="00140CBB"/>
    <w:rsid w:val="00151C3B"/>
    <w:rsid w:val="00183F70"/>
    <w:rsid w:val="001A0878"/>
    <w:rsid w:val="001A77B1"/>
    <w:rsid w:val="001E318D"/>
    <w:rsid w:val="002004E5"/>
    <w:rsid w:val="0028036E"/>
    <w:rsid w:val="002A25DE"/>
    <w:rsid w:val="00342EE4"/>
    <w:rsid w:val="003855F4"/>
    <w:rsid w:val="00390DCD"/>
    <w:rsid w:val="003911FF"/>
    <w:rsid w:val="00392737"/>
    <w:rsid w:val="003B1807"/>
    <w:rsid w:val="003C5960"/>
    <w:rsid w:val="003F5900"/>
    <w:rsid w:val="004D6841"/>
    <w:rsid w:val="004F0815"/>
    <w:rsid w:val="005B2F5F"/>
    <w:rsid w:val="005E2ED9"/>
    <w:rsid w:val="005F6EFA"/>
    <w:rsid w:val="00613F73"/>
    <w:rsid w:val="00653A32"/>
    <w:rsid w:val="00687438"/>
    <w:rsid w:val="00696C51"/>
    <w:rsid w:val="0072671F"/>
    <w:rsid w:val="00741FF5"/>
    <w:rsid w:val="00752BEC"/>
    <w:rsid w:val="0075782C"/>
    <w:rsid w:val="007A66C5"/>
    <w:rsid w:val="007B02BE"/>
    <w:rsid w:val="007B1A92"/>
    <w:rsid w:val="007B382A"/>
    <w:rsid w:val="007C3CC0"/>
    <w:rsid w:val="008112C8"/>
    <w:rsid w:val="00830188"/>
    <w:rsid w:val="00846052"/>
    <w:rsid w:val="00897D51"/>
    <w:rsid w:val="00960F8E"/>
    <w:rsid w:val="009B05E5"/>
    <w:rsid w:val="009B76CA"/>
    <w:rsid w:val="00A15783"/>
    <w:rsid w:val="00A66698"/>
    <w:rsid w:val="00A76457"/>
    <w:rsid w:val="00B6504E"/>
    <w:rsid w:val="00C56AB4"/>
    <w:rsid w:val="00CA4261"/>
    <w:rsid w:val="00D93BCA"/>
    <w:rsid w:val="00DE13EC"/>
    <w:rsid w:val="00E11A84"/>
    <w:rsid w:val="00E6330E"/>
    <w:rsid w:val="00E8254A"/>
    <w:rsid w:val="00ED67D5"/>
    <w:rsid w:val="00F1707B"/>
    <w:rsid w:val="00F65162"/>
    <w:rsid w:val="00F714E4"/>
    <w:rsid w:val="00FE7D0E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B5671"/>
  <w15:docId w15:val="{C44A90CB-81FC-4C8A-8999-7CE6EF26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40A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040A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040A9"/>
    <w:pPr>
      <w:keepNext/>
      <w:jc w:val="both"/>
      <w:outlineLvl w:val="1"/>
    </w:pPr>
    <w:rPr>
      <w:b/>
      <w:caps/>
      <w:sz w:val="2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040A9"/>
    <w:pPr>
      <w:keepNext/>
      <w:jc w:val="both"/>
      <w:outlineLvl w:val="2"/>
    </w:pPr>
    <w:rPr>
      <w:rFonts w:ascii="Arial" w:hAnsi="Arial"/>
      <w:sz w:val="14"/>
      <w:u w:val="thick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151C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0040A9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267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267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2671F"/>
    <w:rPr>
      <w:rFonts w:ascii="Cambria" w:hAnsi="Cambria" w:cs="Times New Roman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2671F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0040A9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671F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0040A9"/>
    <w:pPr>
      <w:jc w:val="both"/>
    </w:pPr>
    <w:rPr>
      <w:rFonts w:ascii="Arial" w:hAnsi="Arial"/>
      <w:b/>
      <w:sz w:val="14"/>
      <w:u w:val="single"/>
    </w:rPr>
  </w:style>
  <w:style w:type="paragraph" w:styleId="Zkladntext">
    <w:name w:val="Body Text"/>
    <w:basedOn w:val="Normln"/>
    <w:link w:val="ZkladntextChar"/>
    <w:uiPriority w:val="99"/>
    <w:rsid w:val="000040A9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2671F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0040A9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2671F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0040A9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2671F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0040A9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2671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0040A9"/>
    <w:pPr>
      <w:autoSpaceDE w:val="0"/>
      <w:autoSpaceDN w:val="0"/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2671F"/>
    <w:rPr>
      <w:rFonts w:cs="Times New Roman"/>
    </w:rPr>
  </w:style>
  <w:style w:type="paragraph" w:styleId="Zhlav">
    <w:name w:val="header"/>
    <w:basedOn w:val="Normln"/>
    <w:link w:val="ZhlavChar"/>
    <w:uiPriority w:val="99"/>
    <w:rsid w:val="00004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2671F"/>
    <w:rPr>
      <w:rFonts w:cs="Times New Roman"/>
    </w:rPr>
  </w:style>
  <w:style w:type="paragraph" w:styleId="Zpat">
    <w:name w:val="footer"/>
    <w:basedOn w:val="Normln"/>
    <w:link w:val="ZpatChar"/>
    <w:uiPriority w:val="99"/>
    <w:rsid w:val="00004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2671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040A9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2671F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0040A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A25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2671F"/>
    <w:rPr>
      <w:rFonts w:cs="Times New Roman"/>
      <w:sz w:val="2"/>
    </w:rPr>
  </w:style>
  <w:style w:type="character" w:customStyle="1" w:styleId="Nadpis4Char">
    <w:name w:val="Nadpis 4 Char"/>
    <w:basedOn w:val="Standardnpsmoodstavce"/>
    <w:link w:val="Nadpis4"/>
    <w:semiHidden/>
    <w:rsid w:val="00151C3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670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transfúzním přípravku – ČTĚTE POZORNĚ</vt:lpstr>
    </vt:vector>
  </TitlesOfParts>
  <Company>FN Olomouc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transfúzním přípravku – ČTĚTE POZORNĚ</dc:title>
  <dc:creator>FTO</dc:creator>
  <cp:lastModifiedBy>Pištělková Alice</cp:lastModifiedBy>
  <cp:revision>5</cp:revision>
  <cp:lastPrinted>2024-06-27T11:19:00Z</cp:lastPrinted>
  <dcterms:created xsi:type="dcterms:W3CDTF">2024-06-25T05:11:00Z</dcterms:created>
  <dcterms:modified xsi:type="dcterms:W3CDTF">2024-06-27T11:24:00Z</dcterms:modified>
</cp:coreProperties>
</file>