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5E" w:rsidRDefault="00675123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-311785</wp:posOffset>
            </wp:positionV>
            <wp:extent cx="1835150" cy="469900"/>
            <wp:effectExtent l="19050" t="0" r="0" b="0"/>
            <wp:wrapSquare wrapText="bothSides"/>
            <wp:docPr id="1" name="obrázek 2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 w:val="0"/>
          <w:sz w:val="20"/>
          <w:u w:val="thick"/>
        </w:rPr>
        <w:br w:type="textWrapping" w:clear="all"/>
      </w:r>
      <w:r w:rsidR="00C5765E">
        <w:rPr>
          <w:rFonts w:ascii="Arial Black" w:hAnsi="Arial Black"/>
          <w:b w:val="0"/>
          <w:sz w:val="20"/>
          <w:u w:val="thick"/>
        </w:rPr>
        <w:t>Informace o transfuzním přípravku</w:t>
      </w:r>
      <w:r w:rsidR="00C5765E">
        <w:rPr>
          <w:sz w:val="16"/>
          <w:u w:val="thick"/>
        </w:rPr>
        <w:t xml:space="preserve"> – </w:t>
      </w:r>
      <w:r w:rsidR="00C5765E">
        <w:rPr>
          <w:rFonts w:ascii="Arial Black" w:hAnsi="Arial Black"/>
          <w:b w:val="0"/>
          <w:sz w:val="18"/>
          <w:u w:val="thick"/>
        </w:rPr>
        <w:t>ČTĚTE POZORNĚ!</w:t>
      </w:r>
    </w:p>
    <w:p w:rsidR="00C5765E" w:rsidRDefault="00C5765E">
      <w:pPr>
        <w:jc w:val="both"/>
        <w:rPr>
          <w:b/>
          <w:sz w:val="16"/>
        </w:rPr>
      </w:pPr>
    </w:p>
    <w:p w:rsidR="00C5765E" w:rsidRDefault="00C5765E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6D72DC">
        <w:rPr>
          <w:rFonts w:ascii="Arial Narrow" w:hAnsi="Arial Narrow"/>
          <w:spacing w:val="8"/>
          <w:sz w:val="16"/>
        </w:rPr>
        <w:t xml:space="preserve">       </w:t>
      </w:r>
      <w:r w:rsidR="000051E6">
        <w:rPr>
          <w:rFonts w:ascii="Arial Narrow" w:hAnsi="Arial Narrow"/>
          <w:spacing w:val="8"/>
          <w:sz w:val="16"/>
        </w:rPr>
        <w:t xml:space="preserve">                  </w:t>
      </w:r>
      <w:r w:rsidR="006D72DC">
        <w:rPr>
          <w:rFonts w:ascii="Arial Narrow" w:hAnsi="Arial Narrow"/>
          <w:spacing w:val="8"/>
          <w:sz w:val="16"/>
        </w:rPr>
        <w:t xml:space="preserve">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C5765E" w:rsidRDefault="00C5765E">
      <w:pPr>
        <w:pStyle w:val="Zkladntext"/>
        <w:jc w:val="both"/>
      </w:pPr>
      <w:r>
        <w:t xml:space="preserve">                       </w:t>
      </w:r>
    </w:p>
    <w:p w:rsidR="00C5765E" w:rsidRDefault="00C5765E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proofErr w:type="gramStart"/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</w:t>
      </w:r>
      <w:proofErr w:type="gramEnd"/>
      <w:r>
        <w:rPr>
          <w:color w:val="auto"/>
          <w:sz w:val="16"/>
        </w:rPr>
        <w:t xml:space="preserve">    </w:t>
      </w:r>
      <w:r>
        <w:rPr>
          <w:color w:val="auto"/>
          <w:sz w:val="18"/>
        </w:rPr>
        <w:t xml:space="preserve">TROMBOcyty Z buffy-coatu smĚsné  </w:t>
      </w:r>
    </w:p>
    <w:p w:rsidR="00C5765E" w:rsidRPr="00F1212A" w:rsidRDefault="00C5765E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    DeleukotizovanÉ V náhradním roztoku</w:t>
      </w:r>
    </w:p>
    <w:p w:rsidR="00C5765E" w:rsidRDefault="00C5765E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proofErr w:type="gramStart"/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TBSDR</w:t>
      </w:r>
      <w:proofErr w:type="gramEnd"/>
    </w:p>
    <w:p w:rsidR="00C5765E" w:rsidRPr="006D72DC" w:rsidRDefault="00C5765E">
      <w:pPr>
        <w:jc w:val="both"/>
        <w:rPr>
          <w:sz w:val="16"/>
          <w:szCs w:val="16"/>
        </w:rPr>
      </w:pP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Transfuzní oddělení Fakultní nemocnice Olomouc, </w:t>
      </w:r>
      <w:r w:rsidR="00BB25E9" w:rsidRPr="000051E6">
        <w:rPr>
          <w:rFonts w:ascii="Arial" w:hAnsi="Arial"/>
          <w:sz w:val="14"/>
        </w:rPr>
        <w:t>Zdravotníků 248/7</w:t>
      </w:r>
      <w:r>
        <w:rPr>
          <w:rFonts w:ascii="Arial" w:hAnsi="Arial"/>
          <w:sz w:val="14"/>
        </w:rPr>
        <w:t>, 779 00 Olomouc – C 2059.</w:t>
      </w:r>
    </w:p>
    <w:p w:rsidR="00C5765E" w:rsidRDefault="00C5765E">
      <w:pPr>
        <w:jc w:val="both"/>
        <w:rPr>
          <w:caps/>
          <w:sz w:val="14"/>
        </w:rPr>
      </w:pP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C5765E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v terapeutické účinné formě více než 200 x 10</w:t>
      </w:r>
      <w:r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 xml:space="preserve">/TD (terapeutická dávka), </w:t>
      </w:r>
    </w:p>
    <w:p w:rsidR="00C5765E" w:rsidRPr="00040A45" w:rsidRDefault="00C5765E" w:rsidP="001B0D6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resuspendované</w:t>
      </w:r>
      <w:proofErr w:type="spellEnd"/>
      <w:r>
        <w:rPr>
          <w:rFonts w:ascii="Arial" w:hAnsi="Arial"/>
          <w:sz w:val="14"/>
        </w:rPr>
        <w:t xml:space="preserve"> v plazmě a v náhradním roztoku SSP+ (</w:t>
      </w:r>
      <w:r w:rsidRPr="00553E58">
        <w:rPr>
          <w:rFonts w:ascii="Arial" w:hAnsi="Arial"/>
          <w:sz w:val="14"/>
        </w:rPr>
        <w:t>(</w:t>
      </w:r>
      <w:r w:rsidRPr="00553E58">
        <w:rPr>
          <w:rFonts w:ascii="Arial" w:hAnsi="Arial" w:cs="Arial"/>
          <w:sz w:val="14"/>
          <w:szCs w:val="16"/>
        </w:rPr>
        <w:t>Na</w:t>
      </w:r>
      <w:r w:rsidRPr="00553E58">
        <w:rPr>
          <w:rFonts w:ascii="Arial" w:hAnsi="Arial" w:cs="Arial"/>
          <w:sz w:val="14"/>
          <w:szCs w:val="16"/>
          <w:vertAlign w:val="subscript"/>
        </w:rPr>
        <w:t>3</w:t>
      </w:r>
      <w:r w:rsidRPr="00553E58">
        <w:rPr>
          <w:rFonts w:ascii="Arial" w:hAnsi="Arial" w:cs="Arial"/>
          <w:sz w:val="14"/>
          <w:szCs w:val="16"/>
        </w:rPr>
        <w:t>-citrat 2</w:t>
      </w:r>
      <w:proofErr w:type="gramStart"/>
      <w:r w:rsidRPr="00553E58">
        <w:rPr>
          <w:rFonts w:ascii="Arial" w:hAnsi="Arial" w:cs="Arial"/>
          <w:sz w:val="14"/>
          <w:szCs w:val="16"/>
        </w:rPr>
        <w:t>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 </w:t>
      </w:r>
      <w:smartTag w:uri="urn:schemas-microsoft-com:office:smarttags" w:element="metricconverter">
        <w:smartTagPr>
          <w:attr w:name="ProductID" w:val="3,18 g"/>
        </w:smartTagPr>
        <w:smartTag w:uri="urn:schemas-microsoft-com:office:smarttags" w:element="metricconverter">
          <w:smartTagPr>
            <w:attr w:name="ProductID" w:val="3,18 g"/>
          </w:smartTagPr>
          <w:r w:rsidRPr="00553E58">
            <w:rPr>
              <w:rFonts w:ascii="Arial" w:hAnsi="Arial" w:cs="Arial"/>
              <w:sz w:val="14"/>
              <w:szCs w:val="16"/>
            </w:rPr>
            <w:t>3</w:t>
          </w:r>
          <w:proofErr w:type="gramEnd"/>
          <w:r w:rsidRPr="00553E58">
            <w:rPr>
              <w:rFonts w:ascii="Arial" w:hAnsi="Arial" w:cs="Arial"/>
              <w:sz w:val="14"/>
              <w:szCs w:val="16"/>
            </w:rPr>
            <w:t>,18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>Na-</w:t>
      </w:r>
      <w:proofErr w:type="spellStart"/>
      <w:r w:rsidRPr="00553E58">
        <w:rPr>
          <w:rFonts w:ascii="Arial" w:hAnsi="Arial" w:cs="Arial"/>
          <w:sz w:val="14"/>
          <w:szCs w:val="16"/>
        </w:rPr>
        <w:t>acetat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3H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</w:p>
    <w:p w:rsidR="00C5765E" w:rsidRDefault="00C5765E" w:rsidP="00040A45">
      <w:pPr>
        <w:ind w:left="426" w:hanging="426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         </w:t>
      </w:r>
      <w:smartTag w:uri="urn:schemas-microsoft-com:office:smarttags" w:element="metricconverter">
        <w:smartTagPr>
          <w:attr w:name="ProductID" w:val="4,42 g"/>
        </w:smartTagPr>
        <w:r w:rsidRPr="00553E58">
          <w:rPr>
            <w:rFonts w:ascii="Arial" w:hAnsi="Arial" w:cs="Arial"/>
            <w:sz w:val="14"/>
            <w:szCs w:val="16"/>
          </w:rPr>
          <w:t>4,42 g</w:t>
        </w:r>
      </w:smartTag>
      <w:r w:rsidRPr="00553E58">
        <w:rPr>
          <w:rFonts w:ascii="Arial" w:hAnsi="Arial" w:cs="Arial"/>
          <w:sz w:val="14"/>
          <w:szCs w:val="16"/>
        </w:rPr>
        <w:t>, NaH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>PO</w:t>
      </w:r>
      <w:r w:rsidRPr="00553E58">
        <w:rPr>
          <w:rFonts w:ascii="Arial" w:hAnsi="Arial" w:cs="Arial"/>
          <w:sz w:val="14"/>
          <w:szCs w:val="16"/>
          <w:vertAlign w:val="subscript"/>
        </w:rPr>
        <w:t xml:space="preserve">4 </w:t>
      </w:r>
      <w:r w:rsidRPr="00553E58">
        <w:rPr>
          <w:rFonts w:ascii="Arial" w:hAnsi="Arial" w:cs="Arial"/>
          <w:sz w:val="14"/>
          <w:szCs w:val="16"/>
        </w:rPr>
        <w:t>2H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1,05 g"/>
        </w:smartTagPr>
        <w:smartTag w:uri="urn:schemas-microsoft-com:office:smarttags" w:element="metricconverter">
          <w:smartTagPr>
            <w:attr w:name="ProductID" w:val="1,05 g"/>
          </w:smartTagPr>
          <w:r w:rsidRPr="00553E58">
            <w:rPr>
              <w:rFonts w:ascii="Arial" w:hAnsi="Arial" w:cs="Arial"/>
              <w:sz w:val="14"/>
              <w:szCs w:val="16"/>
            </w:rPr>
            <w:t>1,05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>NaH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>PO</w:t>
      </w:r>
      <w:proofErr w:type="gramStart"/>
      <w:r w:rsidRPr="00553E58">
        <w:rPr>
          <w:rFonts w:ascii="Arial" w:hAnsi="Arial" w:cs="Arial"/>
          <w:sz w:val="14"/>
          <w:szCs w:val="16"/>
          <w:vertAlign w:val="subscript"/>
        </w:rPr>
        <w:t xml:space="preserve">4  </w:t>
      </w:r>
      <w:smartTag w:uri="urn:schemas-microsoft-com:office:smarttags" w:element="metricconverter">
        <w:smartTagPr>
          <w:attr w:name="ProductID" w:val="3,05 g"/>
        </w:smartTagPr>
        <w:smartTag w:uri="urn:schemas-microsoft-com:office:smarttags" w:element="metricconverter">
          <w:smartTagPr>
            <w:attr w:name="ProductID" w:val="3,05 g"/>
          </w:smartTagPr>
          <w:r w:rsidRPr="00553E58">
            <w:rPr>
              <w:rFonts w:ascii="Arial" w:hAnsi="Arial" w:cs="Arial"/>
              <w:sz w:val="14"/>
              <w:szCs w:val="16"/>
            </w:rPr>
            <w:t>3</w:t>
          </w:r>
          <w:proofErr w:type="gramEnd"/>
          <w:r w:rsidRPr="00553E58">
            <w:rPr>
              <w:rFonts w:ascii="Arial" w:hAnsi="Arial" w:cs="Arial"/>
              <w:sz w:val="14"/>
              <w:szCs w:val="16"/>
            </w:rPr>
            <w:t>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Pr="00553E58">
        <w:rPr>
          <w:rFonts w:ascii="Arial" w:hAnsi="Arial" w:cs="Arial"/>
          <w:sz w:val="14"/>
          <w:szCs w:val="16"/>
        </w:rPr>
        <w:t>KCl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0,37 g"/>
        </w:smartTagPr>
        <w:smartTag w:uri="urn:schemas-microsoft-com:office:smarttags" w:element="metricconverter">
          <w:smartTagPr>
            <w:attr w:name="ProductID" w:val="0,37 g"/>
          </w:smartTagPr>
          <w:r w:rsidRPr="00553E58">
            <w:rPr>
              <w:rFonts w:ascii="Arial" w:hAnsi="Arial" w:cs="Arial"/>
              <w:sz w:val="14"/>
              <w:szCs w:val="16"/>
            </w:rPr>
            <w:t>0,37 g</w:t>
          </w:r>
        </w:smartTag>
        <w:r w:rsidRPr="00553E58">
          <w:rPr>
            <w:rFonts w:ascii="Arial" w:hAnsi="Arial" w:cs="Arial"/>
            <w:sz w:val="14"/>
            <w:szCs w:val="16"/>
          </w:rPr>
          <w:t>,</w:t>
        </w:r>
      </w:smartTag>
      <w:r w:rsidRPr="00553E58">
        <w:rPr>
          <w:rFonts w:ascii="Arial" w:hAnsi="Arial" w:cs="Arial"/>
          <w:sz w:val="14"/>
          <w:szCs w:val="16"/>
        </w:rPr>
        <w:t>MgCl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 6H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0,30 g"/>
        </w:smartTagPr>
        <w:smartTag w:uri="urn:schemas-microsoft-com:office:smarttags" w:element="metricconverter">
          <w:smartTagPr>
            <w:attr w:name="ProductID" w:val="0,30 g"/>
          </w:smartTagPr>
          <w:r w:rsidRPr="00553E58">
            <w:rPr>
              <w:rFonts w:ascii="Arial" w:hAnsi="Arial" w:cs="Arial"/>
              <w:sz w:val="14"/>
              <w:szCs w:val="16"/>
            </w:rPr>
            <w:t>0,30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Pr="00553E58">
        <w:rPr>
          <w:rFonts w:ascii="Arial" w:hAnsi="Arial" w:cs="Arial"/>
          <w:sz w:val="14"/>
          <w:szCs w:val="16"/>
        </w:rPr>
        <w:t>NaCl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05 g"/>
        </w:smartTagPr>
        <w:smartTag w:uri="urn:schemas-microsoft-com:office:smarttags" w:element="metricconverter">
          <w:smartTagPr>
            <w:attr w:name="ProductID" w:val="4,05 g"/>
          </w:smartTagPr>
          <w:r w:rsidRPr="00553E58">
            <w:rPr>
              <w:rFonts w:ascii="Arial" w:hAnsi="Arial" w:cs="Arial"/>
              <w:sz w:val="14"/>
              <w:szCs w:val="16"/>
            </w:rPr>
            <w:t>4,05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>
        <w:rPr>
          <w:rFonts w:ascii="Arial" w:hAnsi="Arial" w:cs="Arial"/>
          <w:sz w:val="14"/>
          <w:szCs w:val="16"/>
        </w:rPr>
        <w:t>Aqua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 w:rsidR="007B4927">
        <w:rPr>
          <w:rFonts w:ascii="Arial" w:hAnsi="Arial" w:cs="Arial"/>
          <w:sz w:val="14"/>
          <w:szCs w:val="16"/>
        </w:rPr>
        <w:t xml:space="preserve">pro </w:t>
      </w:r>
    </w:p>
    <w:p w:rsidR="00C5765E" w:rsidRDefault="00C5765E" w:rsidP="00040A45">
      <w:pPr>
        <w:ind w:left="426" w:hanging="426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4"/>
          <w:szCs w:val="16"/>
        </w:rPr>
        <w:t xml:space="preserve">         </w:t>
      </w:r>
      <w:proofErr w:type="spellStart"/>
      <w:r w:rsidRPr="00553E58">
        <w:rPr>
          <w:rFonts w:ascii="Arial" w:hAnsi="Arial" w:cs="Arial"/>
          <w:sz w:val="14"/>
          <w:szCs w:val="16"/>
        </w:rPr>
        <w:t>injectione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do 1.000 ml, pH 7,2</w:t>
      </w:r>
      <w:r>
        <w:rPr>
          <w:rFonts w:ascii="Arial" w:hAnsi="Arial" w:cs="Arial"/>
          <w:sz w:val="14"/>
          <w:szCs w:val="16"/>
        </w:rPr>
        <w:t>),</w:t>
      </w:r>
      <w:r w:rsidRPr="00553E58">
        <w:rPr>
          <w:rFonts w:ascii="Arial" w:hAnsi="Arial"/>
          <w:sz w:val="14"/>
        </w:rPr>
        <w:t xml:space="preserve">  </w:t>
      </w:r>
      <w:r>
        <w:rPr>
          <w:rFonts w:ascii="Arial" w:hAnsi="Arial"/>
          <w:sz w:val="14"/>
        </w:rPr>
        <w:t xml:space="preserve"> </w:t>
      </w:r>
    </w:p>
    <w:p w:rsidR="00C5765E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antikoagulační roztok CPD, </w:t>
      </w:r>
    </w:p>
    <w:p w:rsidR="00C5765E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reziduální leukocyty: méně než 1,0 x 10</w:t>
      </w:r>
      <w:r>
        <w:rPr>
          <w:rFonts w:ascii="Arial" w:hAnsi="Arial"/>
          <w:sz w:val="14"/>
          <w:vertAlign w:val="superscript"/>
        </w:rPr>
        <w:t>6</w:t>
      </w:r>
      <w:r>
        <w:rPr>
          <w:rFonts w:ascii="Arial" w:hAnsi="Arial"/>
          <w:sz w:val="14"/>
        </w:rPr>
        <w:t>/T.U.,</w:t>
      </w:r>
    </w:p>
    <w:p w:rsidR="00C5765E" w:rsidRPr="00247495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247495">
        <w:rPr>
          <w:rFonts w:ascii="Arial" w:hAnsi="Arial"/>
          <w:sz w:val="14"/>
        </w:rPr>
        <w:t>koncentrát obsahuje 30</w:t>
      </w:r>
      <w:r>
        <w:rPr>
          <w:rFonts w:ascii="Arial" w:hAnsi="Arial"/>
          <w:sz w:val="14"/>
        </w:rPr>
        <w:t xml:space="preserve"> </w:t>
      </w:r>
      <w:r w:rsidRPr="00247495">
        <w:rPr>
          <w:rFonts w:ascii="Arial" w:hAnsi="Arial"/>
          <w:sz w:val="14"/>
        </w:rPr>
        <w:t>%</w:t>
      </w:r>
      <w:r>
        <w:rPr>
          <w:rFonts w:ascii="Arial" w:hAnsi="Arial"/>
          <w:sz w:val="14"/>
        </w:rPr>
        <w:t xml:space="preserve"> </w:t>
      </w:r>
      <w:r w:rsidRPr="00247495">
        <w:rPr>
          <w:rFonts w:ascii="Arial" w:hAnsi="Arial"/>
          <w:sz w:val="14"/>
        </w:rPr>
        <w:t>- 40 % plazmy a 60</w:t>
      </w:r>
      <w:r>
        <w:rPr>
          <w:rFonts w:ascii="Arial" w:hAnsi="Arial"/>
          <w:sz w:val="14"/>
        </w:rPr>
        <w:t xml:space="preserve"> %</w:t>
      </w:r>
      <w:r w:rsidRPr="00247495">
        <w:rPr>
          <w:rFonts w:ascii="Arial" w:hAnsi="Arial"/>
          <w:sz w:val="14"/>
        </w:rPr>
        <w:t xml:space="preserve"> - 70 % náhradního roztoku </w:t>
      </w:r>
      <w:r>
        <w:rPr>
          <w:rFonts w:ascii="Arial" w:hAnsi="Arial"/>
          <w:sz w:val="14"/>
        </w:rPr>
        <w:t>SSP+,</w:t>
      </w:r>
    </w:p>
    <w:p w:rsidR="00C5765E" w:rsidRDefault="00C5765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pH na</w:t>
      </w:r>
      <w:r w:rsidR="006A0CE1">
        <w:rPr>
          <w:rFonts w:ascii="Arial" w:hAnsi="Arial"/>
          <w:sz w:val="14"/>
        </w:rPr>
        <w:t xml:space="preserve"> konci doby použitelnosti 6,4 nebo vyšší</w:t>
      </w:r>
      <w:r>
        <w:rPr>
          <w:rFonts w:ascii="Arial" w:hAnsi="Arial"/>
          <w:sz w:val="14"/>
        </w:rPr>
        <w:t>.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C5765E" w:rsidRDefault="00C5765E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C5765E" w:rsidRDefault="00C5765E">
      <w:pPr>
        <w:jc w:val="both"/>
        <w:rPr>
          <w:rFonts w:ascii="Arial" w:hAnsi="Arial"/>
          <w:sz w:val="14"/>
        </w:rPr>
      </w:pPr>
    </w:p>
    <w:p w:rsidR="00C5765E" w:rsidRPr="009B6AE3" w:rsidRDefault="00C5765E">
      <w:pPr>
        <w:jc w:val="both"/>
        <w:rPr>
          <w:rFonts w:ascii="Arial" w:hAnsi="Arial"/>
          <w:sz w:val="14"/>
        </w:rPr>
      </w:pPr>
      <w:r w:rsidRPr="009B6AE3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0107936</w:t>
      </w:r>
    </w:p>
    <w:p w:rsidR="00C5765E" w:rsidRDefault="00C5765E">
      <w:pPr>
        <w:pStyle w:val="Nadpis1"/>
        <w:rPr>
          <w:snapToGrid w:val="0"/>
        </w:rPr>
      </w:pPr>
    </w:p>
    <w:p w:rsidR="00C5765E" w:rsidRDefault="00C5765E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C5765E" w:rsidRDefault="00C5765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TBSDR je koncentrát trombocytů získaný z </w:t>
      </w:r>
      <w:proofErr w:type="spellStart"/>
      <w:r>
        <w:rPr>
          <w:rFonts w:ascii="Arial" w:hAnsi="Arial"/>
          <w:sz w:val="14"/>
        </w:rPr>
        <w:t>buffy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coatů</w:t>
      </w:r>
      <w:proofErr w:type="spellEnd"/>
      <w:r>
        <w:rPr>
          <w:rFonts w:ascii="Arial" w:hAnsi="Arial"/>
          <w:sz w:val="14"/>
        </w:rPr>
        <w:t xml:space="preserve"> </w:t>
      </w:r>
      <w:r w:rsidR="006A0CE1">
        <w:rPr>
          <w:rFonts w:ascii="Arial" w:hAnsi="Arial"/>
          <w:sz w:val="14"/>
        </w:rPr>
        <w:t>4</w:t>
      </w:r>
      <w:r>
        <w:rPr>
          <w:rFonts w:ascii="Arial" w:hAnsi="Arial"/>
          <w:sz w:val="14"/>
        </w:rPr>
        <w:t xml:space="preserve"> odběrů plné krve od </w:t>
      </w:r>
      <w:r w:rsidR="006A0CE1">
        <w:rPr>
          <w:rFonts w:ascii="Arial" w:hAnsi="Arial"/>
          <w:sz w:val="14"/>
        </w:rPr>
        <w:t>4</w:t>
      </w:r>
      <w:r>
        <w:rPr>
          <w:rFonts w:ascii="Arial" w:hAnsi="Arial"/>
          <w:sz w:val="14"/>
        </w:rPr>
        <w:t xml:space="preserve"> dárců krve. Trombocyty jsou  </w:t>
      </w:r>
      <w:proofErr w:type="spellStart"/>
      <w:r>
        <w:rPr>
          <w:rFonts w:ascii="Arial" w:hAnsi="Arial"/>
          <w:sz w:val="14"/>
        </w:rPr>
        <w:t>resuspendovány</w:t>
      </w:r>
      <w:proofErr w:type="spellEnd"/>
      <w:r>
        <w:rPr>
          <w:rFonts w:ascii="Arial" w:hAnsi="Arial"/>
          <w:sz w:val="14"/>
        </w:rPr>
        <w:t xml:space="preserve"> do náhradního roztoku, v konečném produktu je ponecháno 30 % – 40 % plazmy, zbytek objemu tvoří náhradní roztok SSP+. Při výrobě dochází k odstranění většiny leukocytů in</w:t>
      </w:r>
      <w:r w:rsidR="007B4927"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t xml:space="preserve">line filtrací. </w:t>
      </w:r>
    </w:p>
    <w:p w:rsidR="00C5765E" w:rsidRDefault="00C5765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Při validované </w:t>
      </w:r>
      <w:proofErr w:type="spellStart"/>
      <w:r>
        <w:rPr>
          <w:rFonts w:ascii="Arial" w:hAnsi="Arial"/>
          <w:sz w:val="14"/>
        </w:rPr>
        <w:t>leukodepleci</w:t>
      </w:r>
      <w:proofErr w:type="spellEnd"/>
      <w:r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C5765E" w:rsidRDefault="00C5765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</w:p>
    <w:p w:rsidR="00C5765E" w:rsidRDefault="00C5765E">
      <w:pPr>
        <w:tabs>
          <w:tab w:val="left" w:pos="284"/>
          <w:tab w:val="left" w:pos="709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>1 T.U.: více než 40 ml na 60 x 10</w:t>
      </w:r>
      <w:r>
        <w:rPr>
          <w:rFonts w:ascii="Arial" w:hAnsi="Arial"/>
          <w:sz w:val="14"/>
          <w:vertAlign w:val="superscript"/>
        </w:rPr>
        <w:t xml:space="preserve">9  </w:t>
      </w:r>
      <w:r>
        <w:rPr>
          <w:rFonts w:ascii="Arial" w:hAnsi="Arial"/>
          <w:sz w:val="14"/>
        </w:rPr>
        <w:t>trombocytů</w:t>
      </w:r>
    </w:p>
    <w:p w:rsidR="00C5765E" w:rsidRPr="00247495" w:rsidRDefault="00C5765E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Pr="00247495">
        <w:rPr>
          <w:rFonts w:ascii="Arial" w:hAnsi="Arial"/>
          <w:sz w:val="14"/>
        </w:rPr>
        <w:t xml:space="preserve">Celkový objem transfuzního přípravku: </w:t>
      </w:r>
      <w:r>
        <w:rPr>
          <w:rFonts w:ascii="Arial" w:hAnsi="Arial"/>
          <w:sz w:val="14"/>
        </w:rPr>
        <w:t xml:space="preserve">min. </w:t>
      </w:r>
      <w:r w:rsidR="00A26914">
        <w:rPr>
          <w:rFonts w:ascii="Arial" w:hAnsi="Arial"/>
          <w:sz w:val="14"/>
        </w:rPr>
        <w:t>135</w:t>
      </w:r>
      <w:r>
        <w:rPr>
          <w:rFonts w:ascii="Arial" w:hAnsi="Arial"/>
          <w:sz w:val="14"/>
        </w:rPr>
        <w:t xml:space="preserve"> </w:t>
      </w:r>
      <w:r w:rsidRPr="00247495">
        <w:rPr>
          <w:rFonts w:ascii="Arial" w:hAnsi="Arial"/>
          <w:sz w:val="14"/>
        </w:rPr>
        <w:t xml:space="preserve">ml </w:t>
      </w:r>
    </w:p>
    <w:p w:rsidR="00C5765E" w:rsidRPr="005C50CD" w:rsidRDefault="00C5765E">
      <w:pPr>
        <w:tabs>
          <w:tab w:val="left" w:pos="284"/>
        </w:tabs>
        <w:jc w:val="both"/>
        <w:rPr>
          <w:rFonts w:ascii="Arial" w:hAnsi="Arial"/>
          <w:color w:val="FF6600"/>
          <w:sz w:val="14"/>
        </w:rPr>
      </w:pPr>
    </w:p>
    <w:p w:rsidR="00C5765E" w:rsidRDefault="00C5765E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C5765E" w:rsidRDefault="00C5765E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Těžká trombocytopenie s klinicky významným krvácením, přisuzovaným deficitu trombocytů u pacientů, kde je žádoucí podat koncentrát s redukovaným množstvím plazmy, např. u pacientů s protilátkami proti plazmatickým bílkovinám (obzvláště proti </w:t>
      </w:r>
      <w:proofErr w:type="spellStart"/>
      <w:r>
        <w:rPr>
          <w:rFonts w:ascii="Arial" w:hAnsi="Arial"/>
          <w:color w:val="auto"/>
          <w:sz w:val="14"/>
          <w:lang w:val="cs-CZ"/>
        </w:rPr>
        <w:t>IgA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), pacienti s alergickými </w:t>
      </w:r>
      <w:proofErr w:type="spellStart"/>
      <w:r>
        <w:rPr>
          <w:rFonts w:ascii="Arial" w:hAnsi="Arial"/>
          <w:color w:val="auto"/>
          <w:sz w:val="14"/>
          <w:lang w:val="cs-CZ"/>
        </w:rPr>
        <w:t>potransfuzními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reakcemi na plazmu nebo koncentráty trombocytů, pacienti s paroxysmální noční </w:t>
      </w:r>
      <w:proofErr w:type="spellStart"/>
      <w:r>
        <w:rPr>
          <w:rFonts w:ascii="Arial" w:hAnsi="Arial"/>
          <w:color w:val="auto"/>
          <w:sz w:val="14"/>
          <w:lang w:val="cs-CZ"/>
        </w:rPr>
        <w:t>hemoglobinurií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. </w:t>
      </w:r>
    </w:p>
    <w:p w:rsidR="00C5765E" w:rsidRDefault="00C5765E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C5765E" w:rsidRDefault="00C5765E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C5765E" w:rsidRDefault="00C5765E">
      <w:pPr>
        <w:pStyle w:val="Zkladntextodsazen2"/>
        <w:tabs>
          <w:tab w:val="clear" w:pos="284"/>
        </w:tabs>
        <w:ind w:left="0"/>
        <w:jc w:val="both"/>
      </w:pPr>
      <w:r>
        <w:t>Jednoznačné kontraindikace nejsou známy. Podání by se mělo zvážit v případech, kdy zástavy krvácení spojené s výraznější trombocytopenií lze dosáhnout jiným způsobem léčby.</w:t>
      </w:r>
    </w:p>
    <w:p w:rsidR="00C5765E" w:rsidRDefault="00C5765E">
      <w:pPr>
        <w:pStyle w:val="Zkladntextodsazen2"/>
        <w:tabs>
          <w:tab w:val="clear" w:pos="284"/>
        </w:tabs>
        <w:ind w:left="0"/>
        <w:jc w:val="both"/>
      </w:pP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proofErr w:type="spellStart"/>
      <w:r>
        <w:rPr>
          <w:rFonts w:ascii="Arial" w:hAnsi="Arial"/>
          <w:sz w:val="14"/>
        </w:rPr>
        <w:t>nedeleukotizovaného</w:t>
      </w:r>
      <w:proofErr w:type="spellEnd"/>
      <w:r>
        <w:rPr>
          <w:rFonts w:ascii="Arial" w:hAnsi="Arial"/>
          <w:sz w:val="14"/>
        </w:rPr>
        <w:t xml:space="preserve"> trombocytového koncentrátu.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především proti HLA a HPA antigenům. Při použití </w:t>
      </w:r>
      <w:proofErr w:type="spellStart"/>
      <w:r>
        <w:rPr>
          <w:rFonts w:ascii="Arial" w:hAnsi="Arial"/>
          <w:sz w:val="14"/>
        </w:rPr>
        <w:t>deleukotizovaných</w:t>
      </w:r>
      <w:proofErr w:type="spellEnd"/>
      <w:r>
        <w:rPr>
          <w:rFonts w:ascii="Arial" w:hAnsi="Arial"/>
          <w:sz w:val="14"/>
        </w:rPr>
        <w:t xml:space="preserve"> trombocytových koncentrátů je riziko HLA imunizace minimální, pokud jsou ostatní podávané transfuzní přípravky rovněž </w:t>
      </w:r>
      <w:proofErr w:type="spellStart"/>
      <w:r>
        <w:rPr>
          <w:rFonts w:ascii="Arial" w:hAnsi="Arial"/>
          <w:sz w:val="14"/>
        </w:rPr>
        <w:t>deleukotizovány</w:t>
      </w:r>
      <w:proofErr w:type="spellEnd"/>
      <w:r>
        <w:rPr>
          <w:rFonts w:ascii="Arial" w:hAnsi="Arial"/>
          <w:sz w:val="14"/>
        </w:rPr>
        <w:t>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dárců         </w:t>
      </w:r>
      <w:r w:rsidR="007B4927">
        <w:rPr>
          <w:rFonts w:ascii="Arial" w:hAnsi="Arial"/>
          <w:sz w:val="14"/>
        </w:rPr>
        <w:t xml:space="preserve">             </w:t>
      </w:r>
      <w:r>
        <w:rPr>
          <w:rFonts w:ascii="Arial" w:hAnsi="Arial"/>
          <w:sz w:val="14"/>
        </w:rPr>
        <w:t xml:space="preserve"> a screeningová vyšetření.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6B2657" w:rsidRDefault="006B2657" w:rsidP="006B2657">
      <w:pPr>
        <w:ind w:left="360"/>
        <w:jc w:val="both"/>
        <w:rPr>
          <w:rFonts w:ascii="Arial" w:hAnsi="Arial"/>
          <w:sz w:val="14"/>
        </w:rPr>
      </w:pPr>
    </w:p>
    <w:p w:rsidR="006B2657" w:rsidRDefault="006B2657" w:rsidP="006B2657">
      <w:pPr>
        <w:ind w:left="360"/>
        <w:jc w:val="both"/>
        <w:rPr>
          <w:rFonts w:ascii="Arial" w:hAnsi="Arial"/>
          <w:sz w:val="14"/>
        </w:rPr>
      </w:pP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(TRALI).</w:t>
      </w:r>
    </w:p>
    <w:p w:rsidR="00C5765E" w:rsidRDefault="00C5765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C5765E" w:rsidRDefault="00C5765E">
      <w:pPr>
        <w:rPr>
          <w:rFonts w:ascii="Arial" w:hAnsi="Arial"/>
          <w:sz w:val="14"/>
        </w:rPr>
      </w:pPr>
    </w:p>
    <w:p w:rsidR="00C5765E" w:rsidRDefault="00C5765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C5765E" w:rsidRDefault="00C5765E">
      <w:pPr>
        <w:jc w:val="center"/>
        <w:rPr>
          <w:rFonts w:ascii="Arial" w:hAnsi="Arial"/>
          <w:sz w:val="14"/>
        </w:rPr>
      </w:pPr>
    </w:p>
    <w:p w:rsidR="00C5765E" w:rsidRDefault="00C5765E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kompatibilní. Jestliže je nutné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negativním ženám  </w:t>
      </w:r>
      <w:r w:rsidR="006D72DC">
        <w:rPr>
          <w:rFonts w:ascii="Arial" w:hAnsi="Arial"/>
          <w:sz w:val="14"/>
        </w:rPr>
        <w:t xml:space="preserve">     </w:t>
      </w:r>
      <w:r w:rsidR="006B2657">
        <w:rPr>
          <w:rFonts w:ascii="Arial" w:hAnsi="Arial"/>
          <w:sz w:val="14"/>
        </w:rPr>
        <w:t xml:space="preserve">     </w:t>
      </w:r>
      <w:r w:rsidR="006D72DC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 xml:space="preserve">ve fertilním věku nebo mladším pacientům podat trombocyty od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pozitivních dárců, mělo by se za těchto okolností uvažovat o prevenci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imunizace podáním specifického imunoglobulinu anti-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. </w:t>
      </w: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 aplikací je nutno zkontrolovat: dokumentaci, číslo a typ transfuzního přípravku, dobu použitelnosti</w:t>
      </w:r>
      <w:r w:rsidR="006B2657">
        <w:rPr>
          <w:rFonts w:ascii="Arial" w:hAnsi="Arial"/>
          <w:sz w:val="14"/>
        </w:rPr>
        <w:t xml:space="preserve"> a kr</w:t>
      </w:r>
      <w:r>
        <w:rPr>
          <w:rFonts w:ascii="Arial" w:hAnsi="Arial"/>
          <w:sz w:val="14"/>
        </w:rPr>
        <w:t>evní skupinu. Vše musí souhlasit s číslem uvedeným na průvodce testech slučitelnosti.</w:t>
      </w:r>
    </w:p>
    <w:p w:rsidR="00C5765E" w:rsidRDefault="00C5765E">
      <w:pPr>
        <w:pStyle w:val="Seznamsodrkami"/>
        <w:numPr>
          <w:ilvl w:val="0"/>
          <w:numId w:val="0"/>
        </w:numPr>
      </w:pPr>
    </w:p>
    <w:p w:rsidR="00C5765E" w:rsidRDefault="00C5765E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C5765E" w:rsidRDefault="00C5765E" w:rsidP="00712782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proofErr w:type="spellStart"/>
      <w:r>
        <w:rPr>
          <w:rFonts w:ascii="Arial" w:hAnsi="Arial"/>
          <w:color w:val="auto"/>
          <w:sz w:val="14"/>
        </w:rPr>
        <w:t>Před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vydáním</w:t>
      </w:r>
      <w:proofErr w:type="spellEnd"/>
      <w:r>
        <w:rPr>
          <w:rFonts w:ascii="Arial" w:hAnsi="Arial"/>
          <w:color w:val="auto"/>
          <w:sz w:val="14"/>
        </w:rPr>
        <w:t xml:space="preserve"> TBSDR se </w:t>
      </w:r>
      <w:proofErr w:type="spellStart"/>
      <w:r>
        <w:rPr>
          <w:rFonts w:ascii="Arial" w:hAnsi="Arial"/>
          <w:color w:val="auto"/>
          <w:sz w:val="14"/>
        </w:rPr>
        <w:t>provádí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kontrola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shody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krevní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skupiny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pacienta</w:t>
      </w:r>
      <w:proofErr w:type="spellEnd"/>
      <w:r>
        <w:rPr>
          <w:rFonts w:ascii="Arial" w:hAnsi="Arial"/>
          <w:color w:val="auto"/>
          <w:sz w:val="14"/>
        </w:rPr>
        <w:t xml:space="preserve"> a </w:t>
      </w:r>
      <w:proofErr w:type="spellStart"/>
      <w:r>
        <w:rPr>
          <w:rFonts w:ascii="Arial" w:hAnsi="Arial"/>
          <w:color w:val="auto"/>
          <w:sz w:val="14"/>
        </w:rPr>
        <w:t>transfuzního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přípravku</w:t>
      </w:r>
      <w:proofErr w:type="spellEnd"/>
      <w:r>
        <w:rPr>
          <w:rFonts w:ascii="Arial" w:hAnsi="Arial"/>
          <w:color w:val="auto"/>
          <w:sz w:val="14"/>
        </w:rPr>
        <w:t>.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C5765E" w:rsidRDefault="00C5765E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 vzniklé během transfuze i po ní</w:t>
      </w:r>
      <w:r w:rsidR="006B2657">
        <w:rPr>
          <w:rFonts w:ascii="Arial" w:hAnsi="Arial"/>
          <w:color w:val="auto"/>
          <w:sz w:val="14"/>
          <w:szCs w:val="14"/>
          <w:lang w:val="cs-CZ"/>
        </w:rPr>
        <w:t>,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nebo podezření na ně. </w:t>
      </w:r>
    </w:p>
    <w:p w:rsidR="00C5765E" w:rsidRPr="009B6AE3" w:rsidRDefault="00C5765E" w:rsidP="009B6AE3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Vyhláška o lidské krvi (č.143/2008 Sb., </w:t>
      </w:r>
      <w:r w:rsidRPr="009B6AE3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B6AE3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 9) z důvodu zajištění </w:t>
      </w:r>
      <w:proofErr w:type="spellStart"/>
      <w:r w:rsidRPr="009B6AE3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 (definice viz zákon</w:t>
      </w:r>
      <w:r w:rsidR="006D72DC">
        <w:rPr>
          <w:rFonts w:ascii="Arial" w:hAnsi="Arial"/>
          <w:color w:val="auto"/>
          <w:sz w:val="14"/>
          <w:szCs w:val="14"/>
          <w:lang w:val="cs-CZ"/>
        </w:rPr>
        <w:t xml:space="preserve">    </w:t>
      </w:r>
      <w:r w:rsidR="006B2657">
        <w:rPr>
          <w:rFonts w:ascii="Arial" w:hAnsi="Arial"/>
          <w:color w:val="auto"/>
          <w:sz w:val="14"/>
          <w:szCs w:val="14"/>
          <w:lang w:val="cs-CZ"/>
        </w:rPr>
        <w:t xml:space="preserve">         </w:t>
      </w:r>
      <w:r w:rsidRPr="009B6AE3">
        <w:rPr>
          <w:rFonts w:ascii="Arial" w:hAnsi="Arial"/>
          <w:color w:val="auto"/>
          <w:sz w:val="14"/>
          <w:szCs w:val="14"/>
          <w:lang w:val="cs-CZ"/>
        </w:rPr>
        <w:t xml:space="preserve"> o léčivech č.378/2007 Sb., </w:t>
      </w:r>
      <w:r w:rsidRPr="009B6AE3">
        <w:rPr>
          <w:rFonts w:ascii="Arial" w:hAnsi="Arial" w:cs="Arial"/>
          <w:color w:val="auto"/>
          <w:sz w:val="14"/>
          <w:szCs w:val="14"/>
          <w:lang w:val="cs-CZ"/>
        </w:rPr>
        <w:t>§ 3) ukládá zdravotnickému zařízení podávající transfuzi (lékař) povinnost oznámit na SÚKL závažnou nežádoucí reakci u příjemce nebo podezření na ni, přičemž se jedná o reakci, která je pozorována během transfuze nebo po ni a souvisí s podáním transfuzního přípravku. Pro oznámení závažné nežádoucí rekce nebo podezření na ni se použije vzor oznámení uvedený v příloze č.</w:t>
      </w:r>
      <w:r w:rsidR="006D72DC"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9B6AE3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C5765E" w:rsidRDefault="00C5765E">
      <w:pPr>
        <w:pStyle w:val="Zkladntextodsazen"/>
        <w:jc w:val="both"/>
        <w:rPr>
          <w:rFonts w:ascii="Arial" w:hAnsi="Arial"/>
          <w:color w:val="auto"/>
          <w:sz w:val="16"/>
          <w:lang w:val="cs-CZ"/>
        </w:rPr>
      </w:pPr>
    </w:p>
    <w:p w:rsidR="00C5765E" w:rsidRDefault="00C5765E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C5765E" w:rsidRDefault="00C5765E">
      <w:pPr>
        <w:pStyle w:val="Seznamsodrkami"/>
        <w:numPr>
          <w:ilvl w:val="0"/>
          <w:numId w:val="6"/>
        </w:numPr>
      </w:pPr>
      <w:r>
        <w:t xml:space="preserve">různé typy nesnášenlivosti plazmy. </w:t>
      </w:r>
    </w:p>
    <w:p w:rsidR="00C5765E" w:rsidRDefault="00C5765E">
      <w:pPr>
        <w:pStyle w:val="Seznamsodrkami"/>
        <w:numPr>
          <w:ilvl w:val="0"/>
          <w:numId w:val="0"/>
        </w:numPr>
      </w:pPr>
    </w:p>
    <w:p w:rsidR="00C5765E" w:rsidRDefault="00C5765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C5765E" w:rsidRDefault="00C5765E" w:rsidP="00FD07CC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se uchovávají maximálně 5 dnů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</w:t>
      </w:r>
      <w:r w:rsidR="006B2657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>ºC</w:t>
      </w:r>
      <w:r w:rsidR="00383919">
        <w:rPr>
          <w:rFonts w:ascii="Arial" w:hAnsi="Arial"/>
          <w:sz w:val="14"/>
        </w:rPr>
        <w:t xml:space="preserve"> </w:t>
      </w:r>
      <w:r w:rsidR="00383919" w:rsidRPr="00FA7980">
        <w:rPr>
          <w:rFonts w:ascii="Arial" w:hAnsi="Arial" w:cs="Arial"/>
          <w:sz w:val="14"/>
          <w:szCs w:val="22"/>
        </w:rPr>
        <w:t>(+19,6 °C až +24,4 °C)</w:t>
      </w:r>
      <w:r>
        <w:rPr>
          <w:rFonts w:ascii="Arial" w:hAnsi="Arial"/>
          <w:sz w:val="14"/>
        </w:rPr>
        <w:t xml:space="preserve"> za neustálého promíchávání na validovaných třepačkách. </w:t>
      </w:r>
    </w:p>
    <w:p w:rsidR="00C5765E" w:rsidRDefault="00C5765E" w:rsidP="00FD07CC">
      <w:pPr>
        <w:pStyle w:val="Zkladntext3"/>
        <w:rPr>
          <w:rFonts w:ascii="Arial" w:hAnsi="Arial"/>
          <w:b/>
          <w:i/>
          <w:sz w:val="14"/>
        </w:rPr>
      </w:pPr>
      <w:r>
        <w:rPr>
          <w:rFonts w:ascii="Arial" w:hAnsi="Arial"/>
          <w:sz w:val="14"/>
        </w:rPr>
        <w:t>Míchání trombocytů během uchovávání musí být natolik účinné, aby zaručovalo dostupnost kyslíku a zároveň musí být co nejšetrnější.</w:t>
      </w:r>
    </w:p>
    <w:p w:rsidR="00C5765E" w:rsidRDefault="00C5765E" w:rsidP="00FD07CC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5 dnů</w:t>
      </w:r>
      <w:r w:rsidR="003D28AF">
        <w:rPr>
          <w:rFonts w:ascii="Arial" w:hAnsi="Arial"/>
          <w:b/>
          <w:i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 je uvedena na štítku transfuzního přípravku.</w:t>
      </w:r>
    </w:p>
    <w:p w:rsidR="00C5765E" w:rsidRDefault="00C5765E">
      <w:pPr>
        <w:jc w:val="both"/>
        <w:rPr>
          <w:rFonts w:ascii="Arial" w:hAnsi="Arial"/>
          <w:b/>
          <w:sz w:val="14"/>
          <w:u w:val="single"/>
        </w:rPr>
      </w:pPr>
    </w:p>
    <w:p w:rsidR="00C5765E" w:rsidRDefault="00C5765E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C5765E" w:rsidRPr="00247495" w:rsidRDefault="00C5765E">
      <w:pPr>
        <w:jc w:val="both"/>
        <w:rPr>
          <w:rFonts w:ascii="Arial" w:hAnsi="Arial"/>
          <w:b/>
          <w:sz w:val="14"/>
        </w:rPr>
      </w:pPr>
      <w:r w:rsidRPr="00247495">
        <w:rPr>
          <w:rFonts w:ascii="Arial" w:hAnsi="Arial"/>
          <w:b/>
          <w:sz w:val="14"/>
        </w:rPr>
        <w:t xml:space="preserve">Vak obsahuje </w:t>
      </w:r>
      <w:r w:rsidR="006A0CE1">
        <w:rPr>
          <w:rFonts w:ascii="Arial" w:hAnsi="Arial"/>
          <w:b/>
          <w:sz w:val="14"/>
        </w:rPr>
        <w:t>4</w:t>
      </w:r>
      <w:r w:rsidRPr="00247495">
        <w:rPr>
          <w:rFonts w:ascii="Arial" w:hAnsi="Arial"/>
          <w:b/>
          <w:sz w:val="14"/>
        </w:rPr>
        <w:t xml:space="preserve"> T</w:t>
      </w:r>
      <w:r>
        <w:rPr>
          <w:rFonts w:ascii="Arial" w:hAnsi="Arial"/>
          <w:b/>
          <w:sz w:val="14"/>
        </w:rPr>
        <w:t>.</w:t>
      </w:r>
      <w:r w:rsidRPr="00247495">
        <w:rPr>
          <w:rFonts w:ascii="Arial" w:hAnsi="Arial"/>
          <w:b/>
          <w:sz w:val="14"/>
        </w:rPr>
        <w:t>U</w:t>
      </w:r>
      <w:r>
        <w:rPr>
          <w:rFonts w:ascii="Arial" w:hAnsi="Arial"/>
          <w:b/>
          <w:sz w:val="14"/>
        </w:rPr>
        <w:t>.</w:t>
      </w:r>
      <w:r w:rsidR="006A0CE1">
        <w:rPr>
          <w:rFonts w:ascii="Arial" w:hAnsi="Arial"/>
          <w:b/>
          <w:sz w:val="14"/>
        </w:rPr>
        <w:t xml:space="preserve"> trombocytů od 4</w:t>
      </w:r>
      <w:r w:rsidRPr="00247495">
        <w:rPr>
          <w:rFonts w:ascii="Arial" w:hAnsi="Arial"/>
          <w:b/>
          <w:sz w:val="14"/>
        </w:rPr>
        <w:t xml:space="preserve"> dárců plné krve odpovídající 1 terapeutické dávce trombocytů                    (</w:t>
      </w:r>
      <w:r w:rsidRPr="00247495">
        <w:rPr>
          <w:b/>
          <w:sz w:val="14"/>
        </w:rPr>
        <w:t>&gt;</w:t>
      </w:r>
      <w:r w:rsidRPr="00247495">
        <w:rPr>
          <w:rFonts w:ascii="Arial" w:hAnsi="Arial"/>
          <w:b/>
          <w:sz w:val="14"/>
        </w:rPr>
        <w:t>200 x</w:t>
      </w:r>
      <w:r>
        <w:rPr>
          <w:rFonts w:ascii="Arial" w:hAnsi="Arial"/>
          <w:b/>
          <w:sz w:val="14"/>
        </w:rPr>
        <w:t xml:space="preserve"> </w:t>
      </w:r>
      <w:r w:rsidRPr="00247495">
        <w:rPr>
          <w:rFonts w:ascii="Arial" w:hAnsi="Arial"/>
          <w:b/>
          <w:sz w:val="14"/>
        </w:rPr>
        <w:t>10</w:t>
      </w:r>
      <w:r w:rsidRPr="00247495">
        <w:rPr>
          <w:rFonts w:ascii="Arial" w:hAnsi="Arial"/>
          <w:b/>
          <w:sz w:val="14"/>
          <w:vertAlign w:val="superscript"/>
        </w:rPr>
        <w:t>9</w:t>
      </w:r>
      <w:r w:rsidRPr="00247495">
        <w:rPr>
          <w:rFonts w:ascii="Arial" w:hAnsi="Arial"/>
          <w:b/>
          <w:sz w:val="14"/>
        </w:rPr>
        <w:t>).</w:t>
      </w:r>
    </w:p>
    <w:p w:rsidR="00C5765E" w:rsidRDefault="00C5765E">
      <w:pPr>
        <w:jc w:val="both"/>
        <w:rPr>
          <w:rFonts w:ascii="Arial" w:hAnsi="Arial"/>
          <w:b/>
          <w:i/>
          <w:sz w:val="14"/>
        </w:rPr>
      </w:pPr>
    </w:p>
    <w:p w:rsidR="00C5765E" w:rsidRDefault="00C5765E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  <w:bookmarkStart w:id="0" w:name="_GoBack"/>
      <w:bookmarkEnd w:id="0"/>
    </w:p>
    <w:p w:rsidR="00C5765E" w:rsidRPr="00383919" w:rsidRDefault="00383919">
      <w:pPr>
        <w:tabs>
          <w:tab w:val="left" w:pos="284"/>
        </w:tabs>
        <w:jc w:val="both"/>
        <w:rPr>
          <w:rFonts w:ascii="Arial" w:hAnsi="Arial"/>
          <w:sz w:val="14"/>
        </w:rPr>
      </w:pPr>
      <w:r w:rsidRPr="00383919">
        <w:rPr>
          <w:rFonts w:ascii="Arial" w:hAnsi="Arial" w:cs="Arial"/>
          <w:sz w:val="14"/>
        </w:rPr>
        <w:t xml:space="preserve">Termoboxy  pro  přepravu  trombocytů   by  měly  být   před  jejich  použitím  otevřeny  po  dobu   30 minut při pokojové teplotě. Během přepravy by se měla teplota trombocytových koncentrátů udržovat co nejblíže k doporučované teplotě, tj. +20 ºC až +24 </w:t>
      </w:r>
      <w:r w:rsidRPr="00383919">
        <w:rPr>
          <w:rFonts w:ascii="Arial" w:hAnsi="Arial" w:cs="Arial"/>
          <w:sz w:val="14"/>
          <w:szCs w:val="22"/>
        </w:rPr>
        <w:t>ºC (+19,6 °C až +24,4 °C).</w:t>
      </w:r>
      <w:r w:rsidRPr="00383919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pokud se bezprostředně nepoužijí k transfuzi. Před použitím by se měly dále míchat. Po doručení na oddělení by se měly neprodleně aplikovat</w:t>
      </w:r>
      <w:r>
        <w:rPr>
          <w:rFonts w:ascii="Arial" w:hAnsi="Arial" w:cs="Arial"/>
          <w:sz w:val="14"/>
        </w:rPr>
        <w:t>.</w:t>
      </w:r>
    </w:p>
    <w:p w:rsidR="00C5765E" w:rsidRPr="00383919" w:rsidRDefault="00C5765E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6D72DC" w:rsidRDefault="00C5765E" w:rsidP="005C50CD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  <w:r w:rsidR="00383919">
        <w:rPr>
          <w:rFonts w:ascii="Arial" w:hAnsi="Arial"/>
          <w:sz w:val="14"/>
        </w:rPr>
        <w:t xml:space="preserve"> </w:t>
      </w:r>
    </w:p>
    <w:p w:rsidR="00C5765E" w:rsidRPr="006B2657" w:rsidRDefault="00BB25E9" w:rsidP="005C50CD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6B2657">
        <w:rPr>
          <w:rFonts w:ascii="Arial" w:hAnsi="Arial"/>
          <w:sz w:val="14"/>
        </w:rPr>
        <w:t>Červe</w:t>
      </w:r>
      <w:r w:rsidR="00675123" w:rsidRPr="006B2657">
        <w:rPr>
          <w:rFonts w:ascii="Arial" w:hAnsi="Arial"/>
          <w:sz w:val="14"/>
        </w:rPr>
        <w:t>n</w:t>
      </w:r>
      <w:proofErr w:type="gramEnd"/>
      <w:r w:rsidR="00383919" w:rsidRPr="006B2657">
        <w:rPr>
          <w:rFonts w:ascii="Arial" w:hAnsi="Arial"/>
          <w:sz w:val="14"/>
        </w:rPr>
        <w:t xml:space="preserve"> </w:t>
      </w:r>
      <w:r w:rsidR="00C5765E" w:rsidRPr="006B2657">
        <w:rPr>
          <w:rFonts w:ascii="Arial" w:hAnsi="Arial"/>
          <w:sz w:val="14"/>
        </w:rPr>
        <w:t>20</w:t>
      </w:r>
      <w:r w:rsidRPr="006B2657">
        <w:rPr>
          <w:rFonts w:ascii="Arial" w:hAnsi="Arial"/>
          <w:sz w:val="14"/>
        </w:rPr>
        <w:t>24</w:t>
      </w:r>
      <w:r w:rsidR="00383919" w:rsidRPr="006B2657">
        <w:rPr>
          <w:rFonts w:ascii="Arial" w:hAnsi="Arial"/>
          <w:sz w:val="14"/>
        </w:rPr>
        <w:t xml:space="preserve"> – verze č. 0</w:t>
      </w:r>
      <w:r w:rsidRPr="006B2657">
        <w:rPr>
          <w:rFonts w:ascii="Arial" w:hAnsi="Arial"/>
          <w:sz w:val="14"/>
        </w:rPr>
        <w:t>7</w:t>
      </w:r>
    </w:p>
    <w:sectPr w:rsidR="00C5765E" w:rsidRPr="006B2657" w:rsidSect="000051E6">
      <w:footerReference w:type="even" r:id="rId8"/>
      <w:footerReference w:type="default" r:id="rId9"/>
      <w:pgSz w:w="8505" w:h="11907"/>
      <w:pgMar w:top="454" w:right="851" w:bottom="454" w:left="851" w:header="113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789" w:rsidRDefault="00665789">
      <w:r>
        <w:separator/>
      </w:r>
    </w:p>
  </w:endnote>
  <w:endnote w:type="continuationSeparator" w:id="0">
    <w:p w:rsidR="00665789" w:rsidRDefault="0066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789" w:rsidRDefault="006657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65789" w:rsidRDefault="0066578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789" w:rsidRDefault="00665789">
    <w:pPr>
      <w:pStyle w:val="Zpat"/>
      <w:framePr w:wrap="around" w:vAnchor="text" w:hAnchor="margin" w:xAlign="right" w:y="1"/>
      <w:rPr>
        <w:rStyle w:val="slostrnky"/>
      </w:rPr>
    </w:pPr>
  </w:p>
  <w:p w:rsidR="00665789" w:rsidRDefault="00665789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B43E6E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B43E6E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789" w:rsidRDefault="00665789">
      <w:r>
        <w:separator/>
      </w:r>
    </w:p>
  </w:footnote>
  <w:footnote w:type="continuationSeparator" w:id="0">
    <w:p w:rsidR="00665789" w:rsidRDefault="0066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  <w:num w:numId="16">
    <w:abstractNumId w:val="11"/>
  </w:num>
  <w:num w:numId="17">
    <w:abstractNumId w:val="9"/>
  </w:num>
  <w:num w:numId="18">
    <w:abstractNumId w:val="8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6C"/>
    <w:rsid w:val="00002903"/>
    <w:rsid w:val="000051E6"/>
    <w:rsid w:val="000157F2"/>
    <w:rsid w:val="00016F3F"/>
    <w:rsid w:val="00040A45"/>
    <w:rsid w:val="000622CE"/>
    <w:rsid w:val="000C1284"/>
    <w:rsid w:val="00115D78"/>
    <w:rsid w:val="001B0D65"/>
    <w:rsid w:val="001D5A48"/>
    <w:rsid w:val="00247495"/>
    <w:rsid w:val="0026001F"/>
    <w:rsid w:val="002A29D7"/>
    <w:rsid w:val="002A4D3F"/>
    <w:rsid w:val="002B3423"/>
    <w:rsid w:val="002F0954"/>
    <w:rsid w:val="00325759"/>
    <w:rsid w:val="003376F2"/>
    <w:rsid w:val="00364A36"/>
    <w:rsid w:val="00383919"/>
    <w:rsid w:val="00385740"/>
    <w:rsid w:val="00397B92"/>
    <w:rsid w:val="003A2C15"/>
    <w:rsid w:val="003B4863"/>
    <w:rsid w:val="003D28AF"/>
    <w:rsid w:val="004D3C69"/>
    <w:rsid w:val="00553E58"/>
    <w:rsid w:val="00573873"/>
    <w:rsid w:val="00582878"/>
    <w:rsid w:val="005A1B9F"/>
    <w:rsid w:val="005A7ADF"/>
    <w:rsid w:val="005C351E"/>
    <w:rsid w:val="005C50CD"/>
    <w:rsid w:val="005E361A"/>
    <w:rsid w:val="00632236"/>
    <w:rsid w:val="00665789"/>
    <w:rsid w:val="00673ED2"/>
    <w:rsid w:val="00675123"/>
    <w:rsid w:val="006A0CE1"/>
    <w:rsid w:val="006B2657"/>
    <w:rsid w:val="006D72DC"/>
    <w:rsid w:val="006E4FD6"/>
    <w:rsid w:val="00707B23"/>
    <w:rsid w:val="00712782"/>
    <w:rsid w:val="007416A6"/>
    <w:rsid w:val="007B007C"/>
    <w:rsid w:val="007B4927"/>
    <w:rsid w:val="007C5FE6"/>
    <w:rsid w:val="007E64DE"/>
    <w:rsid w:val="00813391"/>
    <w:rsid w:val="00883BC2"/>
    <w:rsid w:val="0088551F"/>
    <w:rsid w:val="00897501"/>
    <w:rsid w:val="00901097"/>
    <w:rsid w:val="0093680C"/>
    <w:rsid w:val="009A0667"/>
    <w:rsid w:val="009B6AE3"/>
    <w:rsid w:val="009C7C7F"/>
    <w:rsid w:val="00A26914"/>
    <w:rsid w:val="00A44801"/>
    <w:rsid w:val="00A91BCF"/>
    <w:rsid w:val="00AE1E70"/>
    <w:rsid w:val="00B2788F"/>
    <w:rsid w:val="00B43E6E"/>
    <w:rsid w:val="00B45B11"/>
    <w:rsid w:val="00B46350"/>
    <w:rsid w:val="00B56CDE"/>
    <w:rsid w:val="00BB25E9"/>
    <w:rsid w:val="00BC2E0E"/>
    <w:rsid w:val="00BE32F6"/>
    <w:rsid w:val="00BF1ADF"/>
    <w:rsid w:val="00C0020B"/>
    <w:rsid w:val="00C164E0"/>
    <w:rsid w:val="00C5765E"/>
    <w:rsid w:val="00CF6058"/>
    <w:rsid w:val="00D46E68"/>
    <w:rsid w:val="00D63361"/>
    <w:rsid w:val="00D97D26"/>
    <w:rsid w:val="00DD4CB8"/>
    <w:rsid w:val="00DD7D2E"/>
    <w:rsid w:val="00E41C40"/>
    <w:rsid w:val="00E544E5"/>
    <w:rsid w:val="00E85C42"/>
    <w:rsid w:val="00EA0655"/>
    <w:rsid w:val="00F07B02"/>
    <w:rsid w:val="00F1212A"/>
    <w:rsid w:val="00F16F53"/>
    <w:rsid w:val="00F235A7"/>
    <w:rsid w:val="00F33C6F"/>
    <w:rsid w:val="00F372F9"/>
    <w:rsid w:val="00FA3F6C"/>
    <w:rsid w:val="00FB6001"/>
    <w:rsid w:val="00FC506A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B23BFB"/>
  <w15:docId w15:val="{7C40A386-8CA3-4996-8598-5F709DC8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4FD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FD6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FD6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6E4FD6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6E4FD6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448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448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44801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44801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E4FD6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44801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6E4FD6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6E4FD6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44801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6E4FD6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A4480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6E4FD6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4480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6E4FD6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44801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6E4F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44801"/>
    <w:rPr>
      <w:rFonts w:cs="Times New Roman"/>
    </w:rPr>
  </w:style>
  <w:style w:type="character" w:styleId="slostrnky">
    <w:name w:val="page number"/>
    <w:basedOn w:val="Standardnpsmoodstavce"/>
    <w:uiPriority w:val="99"/>
    <w:rsid w:val="006E4FD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6E4FD6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44801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6E4F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44801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E4FD6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4480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40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480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947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transfúzním přípravku – ČTĚTE POZORNĚ</vt:lpstr>
    </vt:vector>
  </TitlesOfParts>
  <Company>FN Olomouc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Pištělková Alice</cp:lastModifiedBy>
  <cp:revision>4</cp:revision>
  <cp:lastPrinted>2024-07-01T08:24:00Z</cp:lastPrinted>
  <dcterms:created xsi:type="dcterms:W3CDTF">2024-06-25T05:10:00Z</dcterms:created>
  <dcterms:modified xsi:type="dcterms:W3CDTF">2024-07-01T08:25:00Z</dcterms:modified>
</cp:coreProperties>
</file>