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CD" w:rsidRPr="00F95BE8" w:rsidRDefault="0093757C">
      <w:pPr>
        <w:pStyle w:val="Nzev"/>
        <w:jc w:val="both"/>
        <w:rPr>
          <w:rFonts w:ascii="Arial Black" w:hAnsi="Arial Black"/>
          <w:b w:val="0"/>
          <w:sz w:val="16"/>
          <w:szCs w:val="16"/>
          <w:u w:val="thic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29C310" wp14:editId="012D37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8000" cy="403200"/>
            <wp:effectExtent l="0" t="0" r="0" b="0"/>
            <wp:wrapTight wrapText="bothSides">
              <wp:wrapPolygon edited="0">
                <wp:start x="1693" y="0"/>
                <wp:lineTo x="0" y="3066"/>
                <wp:lineTo x="0" y="10221"/>
                <wp:lineTo x="1976" y="20442"/>
                <wp:lineTo x="2258" y="20442"/>
                <wp:lineTo x="13547" y="20442"/>
                <wp:lineTo x="13547" y="16353"/>
                <wp:lineTo x="21167" y="15331"/>
                <wp:lineTo x="21167" y="8177"/>
                <wp:lineTo x="4516" y="0"/>
                <wp:lineTo x="1693" y="0"/>
              </wp:wrapPolygon>
            </wp:wrapTight>
            <wp:docPr id="1" name="Obrázek 1" descr="C:\Users\64827\AppData\Local\Microsoft\Windows\INetCache\Content.Word\FNOL_logo_poz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27\AppData\Local\Microsoft\Windows\INetCache\Content.Word\FNOL_logo_pozitiv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57C" w:rsidRDefault="0093757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93757C" w:rsidRDefault="0093757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E22ECD" w:rsidRDefault="00E22ECD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E22ECD" w:rsidRDefault="00E22ECD">
      <w:pPr>
        <w:jc w:val="both"/>
        <w:rPr>
          <w:b/>
          <w:sz w:val="16"/>
        </w:rPr>
      </w:pPr>
    </w:p>
    <w:p w:rsidR="00E22ECD" w:rsidRDefault="00E22ECD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</w:t>
      </w:r>
      <w:proofErr w:type="gramStart"/>
      <w:r>
        <w:rPr>
          <w:rFonts w:ascii="Arial Narrow" w:hAnsi="Arial Narrow"/>
          <w:spacing w:val="8"/>
          <w:sz w:val="16"/>
        </w:rPr>
        <w:t>doplňující  informace</w:t>
      </w:r>
      <w:proofErr w:type="gramEnd"/>
      <w:r>
        <w:rPr>
          <w:rFonts w:ascii="Arial Narrow" w:hAnsi="Arial Narrow"/>
          <w:spacing w:val="8"/>
          <w:sz w:val="16"/>
        </w:rPr>
        <w:t xml:space="preserve">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588 442 268</w:t>
      </w:r>
      <w:r>
        <w:rPr>
          <w:spacing w:val="8"/>
          <w:sz w:val="16"/>
          <w:u w:val="single"/>
        </w:rPr>
        <w:t>.</w:t>
      </w:r>
    </w:p>
    <w:p w:rsidR="00E22ECD" w:rsidRPr="00702E86" w:rsidRDefault="00E22ECD">
      <w:pPr>
        <w:pStyle w:val="Zkladntext"/>
        <w:jc w:val="both"/>
        <w:rPr>
          <w:sz w:val="4"/>
          <w:szCs w:val="4"/>
        </w:rPr>
      </w:pPr>
      <w:r w:rsidRPr="00702E86">
        <w:rPr>
          <w:sz w:val="4"/>
          <w:szCs w:val="4"/>
        </w:rPr>
        <w:t xml:space="preserve">                       </w:t>
      </w:r>
    </w:p>
    <w:p w:rsidR="00E22ECD" w:rsidRDefault="00E22ECD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 xml:space="preserve">:       </w:t>
      </w:r>
      <w:r>
        <w:rPr>
          <w:color w:val="auto"/>
          <w:sz w:val="18"/>
        </w:rPr>
        <w:t xml:space="preserve">Erytrocyty Z AFERÉZY RESUSPENDOVANÉ </w:t>
      </w:r>
    </w:p>
    <w:p w:rsidR="00E22ECD" w:rsidRDefault="00E22ECD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    DELEUKOTIZOVANÉ</w:t>
      </w:r>
    </w:p>
    <w:p w:rsidR="00E22ECD" w:rsidRDefault="00E22ECD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EARD</w:t>
      </w:r>
    </w:p>
    <w:p w:rsidR="00E22ECD" w:rsidRPr="00702E86" w:rsidRDefault="00E22ECD">
      <w:pPr>
        <w:jc w:val="both"/>
        <w:rPr>
          <w:sz w:val="10"/>
          <w:szCs w:val="10"/>
        </w:rPr>
      </w:pP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Transfuzní oddělení Fakultní nemocnice Olomouc, </w:t>
      </w:r>
      <w:r w:rsidR="002D1B08" w:rsidRPr="0093757C">
        <w:rPr>
          <w:rFonts w:ascii="Arial" w:hAnsi="Arial"/>
          <w:sz w:val="14"/>
        </w:rPr>
        <w:t>Zdravotníků 248/7</w:t>
      </w:r>
      <w:r w:rsidRPr="0093757C">
        <w:rPr>
          <w:rFonts w:ascii="Arial" w:hAnsi="Arial"/>
          <w:sz w:val="14"/>
        </w:rPr>
        <w:t xml:space="preserve">, </w:t>
      </w:r>
      <w:r>
        <w:rPr>
          <w:rFonts w:ascii="Arial" w:hAnsi="Arial"/>
          <w:sz w:val="14"/>
        </w:rPr>
        <w:t>779 00 Olomouc – C 2059.</w:t>
      </w:r>
    </w:p>
    <w:p w:rsidR="00E22ECD" w:rsidRDefault="00E22ECD">
      <w:pPr>
        <w:jc w:val="both"/>
        <w:rPr>
          <w:rFonts w:ascii="Arial" w:hAnsi="Arial"/>
          <w:sz w:val="14"/>
        </w:rPr>
      </w:pP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E22ECD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erytrocytů,</w:t>
      </w:r>
    </w:p>
    <w:p w:rsidR="00E22ECD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antikoagulační roztok CPD 50 nebo ACD-A,</w:t>
      </w:r>
    </w:p>
    <w:p w:rsidR="00E22ECD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resuspenzní</w:t>
      </w:r>
      <w:proofErr w:type="spellEnd"/>
      <w:r>
        <w:rPr>
          <w:rFonts w:ascii="Arial" w:hAnsi="Arial"/>
          <w:sz w:val="14"/>
        </w:rPr>
        <w:t xml:space="preserve"> roztok SAGM 100 ml,</w:t>
      </w:r>
    </w:p>
    <w:p w:rsidR="00E22ECD" w:rsidRDefault="00E22ECD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hematokrit: 0,50 – 0,70,</w:t>
      </w:r>
    </w:p>
    <w:p w:rsidR="00E22ECD" w:rsidRDefault="00E22ECD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hemoglobin: minimálně 40 g/T.U.,</w:t>
      </w:r>
    </w:p>
    <w:p w:rsidR="00E22ECD" w:rsidRPr="00034151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leukocyty: nižší než 1,0 x 10</w:t>
      </w:r>
      <w:r>
        <w:rPr>
          <w:rFonts w:ascii="Arial" w:hAnsi="Arial"/>
          <w:sz w:val="14"/>
          <w:vertAlign w:val="superscript"/>
        </w:rPr>
        <w:t>6</w:t>
      </w:r>
      <w:r>
        <w:rPr>
          <w:rFonts w:ascii="Arial" w:hAnsi="Arial"/>
          <w:sz w:val="14"/>
        </w:rPr>
        <w:t>/T.U.</w:t>
      </w:r>
      <w:r>
        <w:rPr>
          <w:rFonts w:ascii="Arial" w:hAnsi="Arial"/>
          <w:sz w:val="14"/>
          <w:vertAlign w:val="superscript"/>
        </w:rPr>
        <w:t>,</w:t>
      </w:r>
    </w:p>
    <w:p w:rsidR="00E22ECD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hemolýza na konci doby použitelnosti méně než 0,8% erytrocytové hmoty.</w:t>
      </w: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</w:p>
    <w:p w:rsidR="00E22ECD" w:rsidRDefault="00E22ECD">
      <w:pPr>
        <w:jc w:val="both"/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E22ECD" w:rsidRDefault="00E22ECD">
      <w:pPr>
        <w:pStyle w:val="Zkladntext3"/>
        <w:rPr>
          <w:sz w:val="12"/>
          <w:szCs w:val="12"/>
        </w:rPr>
      </w:pPr>
      <w:r>
        <w:t>Transfuzní přípravek, určen k intravenózní aplikaci.</w:t>
      </w:r>
    </w:p>
    <w:p w:rsidR="00E22ECD" w:rsidRPr="00F95BE8" w:rsidRDefault="00E22ECD">
      <w:pPr>
        <w:pStyle w:val="Zkladntext3"/>
        <w:rPr>
          <w:sz w:val="12"/>
          <w:szCs w:val="12"/>
        </w:rPr>
      </w:pPr>
    </w:p>
    <w:p w:rsidR="00E22ECD" w:rsidRDefault="00E22ECD" w:rsidP="001F4BF5">
      <w:pPr>
        <w:rPr>
          <w:rFonts w:ascii="Arial" w:hAnsi="Arial" w:cs="Arial"/>
          <w:sz w:val="14"/>
        </w:rPr>
      </w:pPr>
      <w:r w:rsidRPr="001F4BF5">
        <w:rPr>
          <w:rFonts w:ascii="Arial" w:hAnsi="Arial" w:cs="Arial"/>
          <w:b/>
          <w:sz w:val="14"/>
          <w:u w:val="single"/>
        </w:rPr>
        <w:t>Kód:</w:t>
      </w:r>
      <w:r>
        <w:rPr>
          <w:rFonts w:ascii="Arial" w:hAnsi="Arial" w:cs="Arial"/>
          <w:b/>
          <w:sz w:val="14"/>
        </w:rPr>
        <w:t xml:space="preserve"> </w:t>
      </w:r>
      <w:r w:rsidRPr="001F4BF5">
        <w:rPr>
          <w:rFonts w:ascii="Arial" w:hAnsi="Arial" w:cs="Arial"/>
          <w:sz w:val="14"/>
        </w:rPr>
        <w:t>0007964</w:t>
      </w:r>
    </w:p>
    <w:p w:rsidR="00E22ECD" w:rsidRPr="00F95BE8" w:rsidRDefault="00E22ECD" w:rsidP="001F4BF5">
      <w:pPr>
        <w:rPr>
          <w:rFonts w:ascii="Arial" w:hAnsi="Arial" w:cs="Arial"/>
          <w:b/>
          <w:sz w:val="12"/>
          <w:szCs w:val="12"/>
        </w:rPr>
      </w:pPr>
    </w:p>
    <w:p w:rsidR="00E22ECD" w:rsidRDefault="00E22ECD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E22ECD" w:rsidRDefault="00E22ECD">
      <w:pPr>
        <w:pStyle w:val="Zkladntextodsazen"/>
        <w:jc w:val="both"/>
      </w:pPr>
      <w:r>
        <w:t xml:space="preserve">EARD je koncentrát erytrocytů získaný od jednoho dárce </w:t>
      </w:r>
      <w:proofErr w:type="spellStart"/>
      <w:r>
        <w:t>erytrocytaferézou</w:t>
      </w:r>
      <w:proofErr w:type="spellEnd"/>
      <w:r>
        <w:t xml:space="preserve"> (= odběr pomocí přístroje pro separaci krevních buněk)</w:t>
      </w:r>
      <w:r w:rsidR="002D1B08">
        <w:t xml:space="preserve"> </w:t>
      </w:r>
      <w:r>
        <w:t>in-line filtrací při odběru</w:t>
      </w:r>
      <w:r w:rsidR="002D1B08">
        <w:t>.</w:t>
      </w:r>
      <w:r>
        <w:t xml:space="preserve"> Tato metoda umožňuje od vybraných dárců odebrat jednorázově 2 T.U. erytrocytů, tím tak snižovat riziko HLA imunizace a efektivně léčit pacienty již </w:t>
      </w:r>
      <w:proofErr w:type="spellStart"/>
      <w:r>
        <w:t>aloimunizované</w:t>
      </w:r>
      <w:proofErr w:type="spellEnd"/>
      <w:r>
        <w:t xml:space="preserve">. Snížením </w:t>
      </w:r>
      <w:proofErr w:type="gramStart"/>
      <w:r>
        <w:t>počtu  odebraných</w:t>
      </w:r>
      <w:proofErr w:type="gramEnd"/>
      <w:r>
        <w:t xml:space="preserve">  dárců   může  být  u  </w:t>
      </w:r>
      <w:proofErr w:type="spellStart"/>
      <w:r>
        <w:t>polytransfundovaných</w:t>
      </w:r>
      <w:proofErr w:type="spellEnd"/>
      <w:r>
        <w:t xml:space="preserve">  pacientů  sníženo  také  riziko  přenosu  virů i </w:t>
      </w:r>
      <w:proofErr w:type="spellStart"/>
      <w:r>
        <w:t>aloimunizace</w:t>
      </w:r>
      <w:proofErr w:type="spellEnd"/>
      <w:r>
        <w:t xml:space="preserve"> erytrocytovými antigeny. Odstranění </w:t>
      </w:r>
      <w:proofErr w:type="spellStart"/>
      <w:r>
        <w:t>buffy-coatu</w:t>
      </w:r>
      <w:proofErr w:type="spellEnd"/>
      <w:r>
        <w:t xml:space="preserve"> (= vrstvy leukocytů a trombocytů) během zpracování při odběru snižuje tvorbu </w:t>
      </w:r>
      <w:proofErr w:type="spellStart"/>
      <w:r>
        <w:t>mikroagregátů</w:t>
      </w:r>
      <w:proofErr w:type="spellEnd"/>
      <w:r>
        <w:t>.</w:t>
      </w:r>
    </w:p>
    <w:p w:rsidR="00E22ECD" w:rsidRPr="00F95BE8" w:rsidRDefault="00E22ECD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2"/>
          <w:szCs w:val="12"/>
          <w:u w:val="single"/>
        </w:rPr>
      </w:pPr>
    </w:p>
    <w:p w:rsidR="00E22ECD" w:rsidRPr="009A3090" w:rsidRDefault="00E22ECD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proofErr w:type="gramStart"/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</w:t>
      </w:r>
      <w:proofErr w:type="gramEnd"/>
      <w:r>
        <w:rPr>
          <w:rFonts w:ascii="Arial" w:hAnsi="Arial"/>
          <w:sz w:val="14"/>
        </w:rPr>
        <w:t>1 T.U.: minimálně 2</w:t>
      </w:r>
      <w:r w:rsidR="008A319A">
        <w:rPr>
          <w:rFonts w:ascii="Arial" w:hAnsi="Arial"/>
          <w:sz w:val="14"/>
        </w:rPr>
        <w:t>1</w:t>
      </w:r>
      <w:r>
        <w:rPr>
          <w:rFonts w:ascii="Arial" w:hAnsi="Arial"/>
          <w:sz w:val="14"/>
        </w:rPr>
        <w:t>5 ml</w:t>
      </w:r>
    </w:p>
    <w:p w:rsidR="00E22ECD" w:rsidRPr="00F95BE8" w:rsidRDefault="00E22ECD">
      <w:pPr>
        <w:tabs>
          <w:tab w:val="left" w:pos="284"/>
        </w:tabs>
        <w:jc w:val="both"/>
        <w:rPr>
          <w:rFonts w:ascii="Arial" w:hAnsi="Arial"/>
          <w:sz w:val="12"/>
          <w:szCs w:val="12"/>
        </w:rPr>
      </w:pPr>
    </w:p>
    <w:p w:rsidR="00E22ECD" w:rsidRDefault="00E22ECD">
      <w:pPr>
        <w:pStyle w:val="Zkladntextodsazen"/>
        <w:jc w:val="both"/>
        <w:rPr>
          <w:b/>
          <w:u w:val="single"/>
        </w:rPr>
      </w:pPr>
      <w:r>
        <w:rPr>
          <w:b/>
          <w:u w:val="single"/>
        </w:rPr>
        <w:t xml:space="preserve">Indikace:  </w:t>
      </w:r>
    </w:p>
    <w:p w:rsidR="00E22ECD" w:rsidRDefault="00E22ECD">
      <w:pPr>
        <w:pStyle w:val="Zkladntextodsazen"/>
        <w:jc w:val="both"/>
      </w:pPr>
      <w:r>
        <w:t>Léčba anémie, náhrada krevní ztráty, zejména: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 xml:space="preserve">u pacientů se vzácnou kombinací erytrocytových antigenů (od dárce stejného antigenního složení získáme </w:t>
      </w:r>
      <w:r w:rsidR="00702E86">
        <w:t xml:space="preserve"> </w:t>
      </w:r>
      <w:r w:rsidR="0093757C">
        <w:t xml:space="preserve">      </w:t>
      </w:r>
      <w:r>
        <w:t>při tomto druhu odběru 2 T.U.),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 xml:space="preserve">u pacientů s opakovanými </w:t>
      </w:r>
      <w:proofErr w:type="spellStart"/>
      <w:r>
        <w:t>nehemolytickými</w:t>
      </w:r>
      <w:proofErr w:type="spellEnd"/>
      <w:r>
        <w:t xml:space="preserve"> reakcemi po transfuzi,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pacientů s prokázanými cytotoxickými HLA protilátkami a erytrocytovými protilátkami,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 xml:space="preserve">u pacientů chronicky substituovaných erytrocyty (menší riziko </w:t>
      </w:r>
      <w:proofErr w:type="spellStart"/>
      <w:proofErr w:type="gramStart"/>
      <w:r>
        <w:t>aloimunizace</w:t>
      </w:r>
      <w:proofErr w:type="spellEnd"/>
      <w:r>
        <w:t xml:space="preserve">  při</w:t>
      </w:r>
      <w:proofErr w:type="gramEnd"/>
      <w:r>
        <w:t xml:space="preserve">  možnosti  získání 2 T.U.</w:t>
      </w:r>
      <w:r w:rsidR="0093757C">
        <w:t xml:space="preserve">             </w:t>
      </w:r>
      <w:r>
        <w:t xml:space="preserve"> od jednoho dárce), 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 xml:space="preserve">před a po transplantacích a u ostatních </w:t>
      </w:r>
      <w:proofErr w:type="spellStart"/>
      <w:r>
        <w:t>imunosuprimovaných</w:t>
      </w:r>
      <w:proofErr w:type="spellEnd"/>
      <w:r>
        <w:t xml:space="preserve"> pacientů,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nedonošených dětí a novorozenců,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intrauterinních transfuzí,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těhotných žen,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dětí po operacích srdce a velkých cév,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tento přípravek lze podat jako vhodnou alternativu CMV negativní krve pro prevenci přenosu CMV.</w:t>
      </w:r>
    </w:p>
    <w:p w:rsidR="00E22ECD" w:rsidRPr="00F95BE8" w:rsidRDefault="00E22ECD">
      <w:pPr>
        <w:pStyle w:val="Zkladntextodsazen2"/>
        <w:tabs>
          <w:tab w:val="clear" w:pos="284"/>
        </w:tabs>
        <w:ind w:left="0"/>
        <w:jc w:val="both"/>
        <w:rPr>
          <w:b/>
          <w:sz w:val="12"/>
          <w:szCs w:val="12"/>
          <w:u w:val="single"/>
        </w:rPr>
      </w:pPr>
    </w:p>
    <w:p w:rsidR="00E22ECD" w:rsidRDefault="00E22ECD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E22ECD" w:rsidRDefault="00E22EC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relativní hypervolémie,</w:t>
      </w:r>
    </w:p>
    <w:p w:rsidR="00E22ECD" w:rsidRPr="00F95BE8" w:rsidRDefault="00E22EC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 případech, kde lze dosáhnout normalizace krevního obrazu jiným způsobem léčby.</w:t>
      </w:r>
    </w:p>
    <w:p w:rsidR="00E22ECD" w:rsidRPr="00F95BE8" w:rsidRDefault="00E22ECD" w:rsidP="00F95BE8">
      <w:pPr>
        <w:jc w:val="both"/>
        <w:rPr>
          <w:rFonts w:ascii="Arial" w:hAnsi="Arial"/>
          <w:sz w:val="12"/>
          <w:szCs w:val="12"/>
        </w:rPr>
      </w:pP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oběhové přetížení,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hemolytická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proofErr w:type="spellStart"/>
      <w:r>
        <w:rPr>
          <w:rFonts w:ascii="Arial" w:hAnsi="Arial"/>
          <w:sz w:val="14"/>
        </w:rPr>
        <w:t>nedeleukotizovaných</w:t>
      </w:r>
      <w:proofErr w:type="spellEnd"/>
      <w:r>
        <w:rPr>
          <w:rFonts w:ascii="Arial" w:hAnsi="Arial"/>
          <w:sz w:val="14"/>
        </w:rPr>
        <w:t xml:space="preserve"> erytrocytových přípravků,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lastRenderedPageBreak/>
        <w:t>aloimunizace</w:t>
      </w:r>
      <w:proofErr w:type="spellEnd"/>
      <w:r>
        <w:rPr>
          <w:rFonts w:ascii="Arial" w:hAnsi="Arial"/>
          <w:sz w:val="14"/>
        </w:rPr>
        <w:t xml:space="preserve"> proti HLA a erytrocytovým antigenům,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dárců </w:t>
      </w:r>
      <w:r w:rsidR="00702E86">
        <w:rPr>
          <w:rFonts w:ascii="Arial" w:hAnsi="Arial"/>
          <w:sz w:val="14"/>
        </w:rPr>
        <w:t xml:space="preserve">                    </w:t>
      </w:r>
      <w:r w:rsidR="0093757C">
        <w:rPr>
          <w:rFonts w:ascii="Arial" w:hAnsi="Arial"/>
          <w:sz w:val="14"/>
        </w:rPr>
        <w:t xml:space="preserve">             </w:t>
      </w:r>
      <w:r>
        <w:rPr>
          <w:rFonts w:ascii="Arial" w:hAnsi="Arial"/>
          <w:sz w:val="14"/>
        </w:rPr>
        <w:t>a screeningová vyšetření,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biochemické odchylky při masivní transfuzi, např. </w:t>
      </w:r>
      <w:proofErr w:type="spellStart"/>
      <w:r>
        <w:rPr>
          <w:rFonts w:ascii="Arial" w:hAnsi="Arial"/>
          <w:sz w:val="14"/>
        </w:rPr>
        <w:t>hyperkalémie</w:t>
      </w:r>
      <w:proofErr w:type="spellEnd"/>
      <w:r>
        <w:rPr>
          <w:rFonts w:ascii="Arial" w:hAnsi="Arial"/>
          <w:sz w:val="14"/>
        </w:rPr>
        <w:t>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E22ECD" w:rsidRDefault="00E22ECD">
      <w:pPr>
        <w:jc w:val="both"/>
        <w:rPr>
          <w:rFonts w:ascii="Arial" w:hAnsi="Arial"/>
          <w:sz w:val="14"/>
        </w:rPr>
      </w:pP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E22ECD" w:rsidRDefault="00E22ECD">
      <w:pPr>
        <w:pStyle w:val="Zkladntext3"/>
      </w:pPr>
      <w:r>
        <w:t>Dávkování určuje lékař. Obvykle se krevní transfuze podává při klinických známkách nedostatečného sycení kyslíkem. Jedna transfuzní jednotka EARD zlepšuje hemoglobin u dospělého přibližně o 7 g/</w:t>
      </w:r>
      <w:proofErr w:type="gramStart"/>
      <w:r>
        <w:t>l - 10</w:t>
      </w:r>
      <w:proofErr w:type="gramEnd"/>
      <w:r>
        <w:t xml:space="preserve"> g/l a hematokrit        o 0,2. Při náhlém krvácení se nejdříve podávají krystaloidy, koloidy a krevní transfuze až následně.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Přípravek se podává intravenózně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>m.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vnějšího vzhledu přípravku se zaměřením na možnou hemolýzu, sraženiny a neporušenost obalu.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Kontrola dokumentace, čísla a typu transfuzního přípravku, doby použitelnosti, skupiny v AB0 a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systému.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Provést povinnou zajišťovací zkoušku.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Před a po transfuzi zkontrolovat u pacienta TK, puls, tělesnou teplotu.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Při začátku transfuze provést biologickou zkoušku dle klinické potřeby.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Po ukončení transfuze ponechat zbytek přípravku (nejméně 10 ml) ve vaku na dobu 24 hodin v chladničce.</w:t>
      </w:r>
    </w:p>
    <w:p w:rsidR="00E22ECD" w:rsidRDefault="00E22ECD">
      <w:pPr>
        <w:pStyle w:val="Seznamsodrkami"/>
        <w:numPr>
          <w:ilvl w:val="0"/>
          <w:numId w:val="0"/>
        </w:numPr>
        <w:rPr>
          <w:rFonts w:ascii="Arial" w:hAnsi="Arial"/>
          <w:sz w:val="14"/>
        </w:rPr>
      </w:pPr>
    </w:p>
    <w:p w:rsidR="00E22ECD" w:rsidRDefault="00E22ECD">
      <w:pPr>
        <w:pStyle w:val="Zkladntextodsazen"/>
        <w:jc w:val="both"/>
        <w:rPr>
          <w:b/>
          <w:u w:val="single"/>
        </w:rPr>
      </w:pPr>
      <w:r>
        <w:rPr>
          <w:b/>
          <w:u w:val="single"/>
        </w:rPr>
        <w:t>Upozornění:</w:t>
      </w:r>
    </w:p>
    <w:p w:rsidR="00E22ECD" w:rsidRDefault="00E22ECD" w:rsidP="00AD4FF7">
      <w:pPr>
        <w:pStyle w:val="Zkladntextodsazen"/>
        <w:numPr>
          <w:ilvl w:val="0"/>
          <w:numId w:val="25"/>
        </w:numPr>
        <w:tabs>
          <w:tab w:val="num" w:pos="360"/>
        </w:tabs>
        <w:ind w:left="360"/>
      </w:pPr>
      <w:r>
        <w:t xml:space="preserve">Kompatibilita přípravku s uvažovaným příjemcem se musí ověřit povinným </w:t>
      </w:r>
      <w:proofErr w:type="spellStart"/>
      <w:r>
        <w:t>předtransfuzním</w:t>
      </w:r>
      <w:proofErr w:type="spellEnd"/>
      <w:r>
        <w:t xml:space="preserve"> vyšetřením. Toto vyšetření platí pouze 72 hodin, pak je nutno vyšetření zopakovat.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</w:pPr>
      <w:r>
        <w:t>O transfuzi musí být proveden záznam ve zdravotnické dokumentaci pacienta, který musí obsahovat kompletní identifikaci příjemce (jméno, rodné číslo) a kompletní identifikaci přípravku.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</w:pPr>
      <w:r>
        <w:t>Přípravek lze vrátit zpět na transfuzní oddělení (krevní banku) pouze výjimečně, a to po předchozí domluvě.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</w:pPr>
      <w:r>
        <w:t>Pokud nebyl přípravek aplikován, musí být tato skutečnost písemně nahlášena transfuznímu oddělení (krevní bance) a zaznamenán údaj o naložení s ním.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</w:pPr>
      <w: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sz w:val="16"/>
        </w:rPr>
        <w:t xml:space="preserve"> 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  <w:rPr>
          <w:szCs w:val="14"/>
        </w:rPr>
      </w:pPr>
      <w:r>
        <w:rPr>
          <w:szCs w:val="14"/>
        </w:rPr>
        <w:t xml:space="preserve">Hlásit je třeba nežádoucí reakce související s podáním transfuze, vzniklé během transfuze i po ní nebo podezření na ně. </w:t>
      </w:r>
    </w:p>
    <w:p w:rsidR="00E22ECD" w:rsidRPr="001F4BF5" w:rsidRDefault="00E22ECD" w:rsidP="001F4BF5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  <w:rPr>
          <w:szCs w:val="14"/>
        </w:rPr>
      </w:pPr>
      <w:r w:rsidRPr="001F4BF5">
        <w:rPr>
          <w:szCs w:val="14"/>
        </w:rPr>
        <w:t>Vyhláška o lidské krvi (č.</w:t>
      </w:r>
      <w:r>
        <w:rPr>
          <w:szCs w:val="14"/>
        </w:rPr>
        <w:t xml:space="preserve"> </w:t>
      </w:r>
      <w:r w:rsidRPr="001F4BF5">
        <w:rPr>
          <w:szCs w:val="14"/>
        </w:rPr>
        <w:t xml:space="preserve">143/2008 Sb., </w:t>
      </w:r>
      <w:r w:rsidRPr="001F4BF5">
        <w:rPr>
          <w:rFonts w:cs="Arial"/>
          <w:szCs w:val="14"/>
        </w:rPr>
        <w:t>§</w:t>
      </w:r>
      <w:r w:rsidRPr="001F4BF5">
        <w:rPr>
          <w:szCs w:val="1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1F4BF5">
          <w:rPr>
            <w:szCs w:val="14"/>
          </w:rPr>
          <w:t>1 a</w:t>
        </w:r>
      </w:smartTag>
      <w:r w:rsidRPr="001F4BF5">
        <w:rPr>
          <w:szCs w:val="14"/>
        </w:rPr>
        <w:t xml:space="preserve"> </w:t>
      </w:r>
      <w:r>
        <w:rPr>
          <w:rFonts w:cs="Arial"/>
          <w:szCs w:val="14"/>
        </w:rPr>
        <w:t>§</w:t>
      </w:r>
      <w:r>
        <w:rPr>
          <w:szCs w:val="14"/>
        </w:rPr>
        <w:t xml:space="preserve"> </w:t>
      </w:r>
      <w:r w:rsidRPr="001F4BF5">
        <w:rPr>
          <w:szCs w:val="14"/>
        </w:rPr>
        <w:t xml:space="preserve">9) z důvodu zajištění </w:t>
      </w:r>
      <w:proofErr w:type="spellStart"/>
      <w:r w:rsidRPr="001F4BF5">
        <w:rPr>
          <w:szCs w:val="14"/>
        </w:rPr>
        <w:t>hemovigilance</w:t>
      </w:r>
      <w:proofErr w:type="spellEnd"/>
      <w:r w:rsidRPr="001F4BF5">
        <w:rPr>
          <w:szCs w:val="14"/>
        </w:rPr>
        <w:t xml:space="preserve"> (definice viz zákon </w:t>
      </w:r>
      <w:r w:rsidR="00C10F9A">
        <w:rPr>
          <w:szCs w:val="14"/>
        </w:rPr>
        <w:t xml:space="preserve">          </w:t>
      </w:r>
      <w:r w:rsidR="006254F5">
        <w:rPr>
          <w:szCs w:val="14"/>
        </w:rPr>
        <w:t xml:space="preserve">           </w:t>
      </w:r>
      <w:r w:rsidR="00C10F9A">
        <w:rPr>
          <w:szCs w:val="14"/>
        </w:rPr>
        <w:t xml:space="preserve"> </w:t>
      </w:r>
      <w:r w:rsidRPr="001F4BF5">
        <w:rPr>
          <w:szCs w:val="14"/>
        </w:rPr>
        <w:t>o léčivech č.</w:t>
      </w:r>
      <w:r>
        <w:rPr>
          <w:szCs w:val="14"/>
        </w:rPr>
        <w:t xml:space="preserve"> </w:t>
      </w:r>
      <w:r w:rsidRPr="001F4BF5">
        <w:rPr>
          <w:szCs w:val="14"/>
        </w:rPr>
        <w:t xml:space="preserve">378/2007 Sb., </w:t>
      </w:r>
      <w:r w:rsidRPr="001F4BF5">
        <w:rPr>
          <w:rFonts w:cs="Arial"/>
          <w:szCs w:val="14"/>
        </w:rPr>
        <w:t xml:space="preserve">§ 3) ukládá zdravotnickému zařízení podávající transfuzi (lékař) povinnost oznámit na SÚKL závažnou nežádoucí reakci u příjemce nebo podezření na ni, přičemž se jedná o reakci, která </w:t>
      </w:r>
      <w:r w:rsidR="006254F5">
        <w:rPr>
          <w:rFonts w:cs="Arial"/>
          <w:szCs w:val="14"/>
        </w:rPr>
        <w:t xml:space="preserve">                   </w:t>
      </w:r>
      <w:r w:rsidRPr="001F4BF5">
        <w:rPr>
          <w:rFonts w:cs="Arial"/>
          <w:szCs w:val="14"/>
        </w:rPr>
        <w:t>je pozorována během transfuze nebo po n</w:t>
      </w:r>
      <w:r w:rsidR="006254F5">
        <w:rPr>
          <w:rFonts w:cs="Arial"/>
          <w:szCs w:val="14"/>
        </w:rPr>
        <w:t>í</w:t>
      </w:r>
      <w:r w:rsidRPr="001F4BF5">
        <w:rPr>
          <w:rFonts w:cs="Arial"/>
          <w:szCs w:val="14"/>
        </w:rPr>
        <w:t xml:space="preserve"> a souvisí s podáním transfuzního přípravku. Pro oznámení závažné nežádoucí rekce nebo podezření na ni se použije vzor oznámení uvedený v příloze č.</w:t>
      </w:r>
      <w:r>
        <w:rPr>
          <w:rFonts w:cs="Arial"/>
          <w:szCs w:val="14"/>
        </w:rPr>
        <w:t xml:space="preserve"> </w:t>
      </w:r>
      <w:r w:rsidRPr="001F4BF5">
        <w:rPr>
          <w:rFonts w:cs="Arial"/>
          <w:szCs w:val="14"/>
        </w:rPr>
        <w:t>5 části A vyhlášky nebo na www.sukl.cz.</w:t>
      </w:r>
    </w:p>
    <w:p w:rsidR="00E22ECD" w:rsidRPr="00860C4C" w:rsidRDefault="00E22ECD">
      <w:pPr>
        <w:pStyle w:val="Zkladntextodsazen"/>
        <w:jc w:val="both"/>
        <w:rPr>
          <w:sz w:val="12"/>
          <w:szCs w:val="12"/>
        </w:rPr>
      </w:pPr>
    </w:p>
    <w:p w:rsidR="00E22ECD" w:rsidRDefault="00E22ECD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E22ECD" w:rsidRDefault="00E22ECD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různé typy nesnášenlivosti plazmy (nemusí to platit pro transfuzní přípravky s nízkým obsahem plazmy),</w:t>
      </w:r>
    </w:p>
    <w:p w:rsidR="00E22ECD" w:rsidRDefault="00E22ECD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výměnné transfuze u novorozenců, pokud se přípravek nepoužije do 5 dní od odběru.</w:t>
      </w:r>
    </w:p>
    <w:p w:rsidR="00E22ECD" w:rsidRPr="00860C4C" w:rsidRDefault="00E22ECD">
      <w:pPr>
        <w:pStyle w:val="Seznamsodrkami"/>
        <w:numPr>
          <w:ilvl w:val="0"/>
          <w:numId w:val="0"/>
        </w:numPr>
        <w:rPr>
          <w:sz w:val="12"/>
          <w:szCs w:val="12"/>
        </w:rPr>
      </w:pP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uchovává v lednici při kontrolované </w:t>
      </w:r>
      <w:proofErr w:type="gramStart"/>
      <w:r>
        <w:rPr>
          <w:rFonts w:ascii="Arial" w:hAnsi="Arial"/>
          <w:sz w:val="14"/>
        </w:rPr>
        <w:t>teplotě  +</w:t>
      </w:r>
      <w:proofErr w:type="gramEnd"/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E22ECD" w:rsidRDefault="00E22ECD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E22ECD" w:rsidRDefault="00E22ECD">
      <w:pPr>
        <w:jc w:val="both"/>
        <w:rPr>
          <w:rFonts w:ascii="Arial" w:hAnsi="Arial"/>
          <w:b/>
          <w:i/>
          <w:sz w:val="14"/>
        </w:rPr>
      </w:pP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E22ECD" w:rsidRDefault="00E22ECD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ze separace od jednoho dárce.</w:t>
      </w:r>
    </w:p>
    <w:p w:rsidR="00E22ECD" w:rsidRPr="00860C4C" w:rsidRDefault="00E22ECD">
      <w:pPr>
        <w:tabs>
          <w:tab w:val="left" w:pos="284"/>
        </w:tabs>
        <w:jc w:val="both"/>
        <w:rPr>
          <w:rFonts w:ascii="Arial" w:hAnsi="Arial"/>
          <w:sz w:val="12"/>
          <w:szCs w:val="12"/>
        </w:rPr>
      </w:pP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BA3CCA" w:rsidRPr="00BA3CCA" w:rsidRDefault="00E22ECD" w:rsidP="00BA3CCA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BA3CCA">
        <w:rPr>
          <w:rFonts w:ascii="Arial" w:hAnsi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BA3CCA" w:rsidRPr="00BA3CCA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+10,4 °C) pokud je doba transportu maximálně 24 hodin, při době transportu &gt;24 hodin se </w:t>
      </w:r>
      <w:proofErr w:type="spellStart"/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>erytrocytární</w:t>
      </w:r>
      <w:proofErr w:type="spellEnd"/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 xml:space="preserve"> TP transportují při teplotě +</w:t>
      </w:r>
      <w:smartTag w:uri="urn:schemas-microsoft-com:office:smarttags" w:element="metricconverter">
        <w:smartTagPr>
          <w:attr w:name="ProductID" w:val="2 °C"/>
        </w:smartTagPr>
        <w:r w:rsidR="00BA3CCA" w:rsidRPr="00BA3CCA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 xml:space="preserve"> až </w:t>
      </w:r>
      <w:r w:rsidR="006254F5">
        <w:rPr>
          <w:rFonts w:ascii="Arial" w:hAnsi="Arial" w:cs="Arial"/>
          <w:b w:val="0"/>
          <w:i w:val="0"/>
          <w:color w:val="auto"/>
          <w:sz w:val="14"/>
        </w:rPr>
        <w:t xml:space="preserve">    </w:t>
      </w:r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>+6 °C (+1,6 °C až +6,4 °C).</w:t>
      </w:r>
    </w:p>
    <w:p w:rsidR="00E22ECD" w:rsidRPr="00BA3CCA" w:rsidRDefault="00E22ECD" w:rsidP="000A51F0">
      <w:pPr>
        <w:jc w:val="both"/>
        <w:rPr>
          <w:rFonts w:ascii="Arial" w:hAnsi="Arial"/>
          <w:sz w:val="14"/>
        </w:rPr>
      </w:pPr>
    </w:p>
    <w:p w:rsidR="00702E86" w:rsidRDefault="00E22ECD">
      <w:pPr>
        <w:tabs>
          <w:tab w:val="left" w:pos="284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  <w:r w:rsidRPr="000F39F9">
        <w:rPr>
          <w:rFonts w:ascii="Arial" w:hAnsi="Arial"/>
          <w:b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 </w:t>
      </w:r>
    </w:p>
    <w:p w:rsidR="00E22ECD" w:rsidRPr="006254F5" w:rsidRDefault="002D1B08">
      <w:pPr>
        <w:tabs>
          <w:tab w:val="left" w:pos="284"/>
        </w:tabs>
        <w:jc w:val="both"/>
      </w:pPr>
      <w:bookmarkStart w:id="0" w:name="_GoBack"/>
      <w:proofErr w:type="gramStart"/>
      <w:r w:rsidRPr="006254F5">
        <w:rPr>
          <w:rFonts w:ascii="Arial" w:hAnsi="Arial"/>
          <w:sz w:val="14"/>
        </w:rPr>
        <w:t>Červ</w:t>
      </w:r>
      <w:r w:rsidR="00702E86" w:rsidRPr="006254F5">
        <w:rPr>
          <w:rFonts w:ascii="Arial" w:hAnsi="Arial"/>
          <w:sz w:val="14"/>
        </w:rPr>
        <w:t>en</w:t>
      </w:r>
      <w:proofErr w:type="gramEnd"/>
      <w:r w:rsidR="00E22ECD" w:rsidRPr="006254F5">
        <w:rPr>
          <w:rFonts w:ascii="Arial" w:hAnsi="Arial"/>
          <w:sz w:val="14"/>
        </w:rPr>
        <w:t xml:space="preserve"> 20</w:t>
      </w:r>
      <w:r w:rsidRPr="006254F5">
        <w:rPr>
          <w:rFonts w:ascii="Arial" w:hAnsi="Arial"/>
          <w:sz w:val="14"/>
        </w:rPr>
        <w:t>24</w:t>
      </w:r>
      <w:r w:rsidR="00E22ECD" w:rsidRPr="006254F5">
        <w:rPr>
          <w:rFonts w:ascii="Arial" w:hAnsi="Arial"/>
          <w:sz w:val="14"/>
        </w:rPr>
        <w:t xml:space="preserve"> – verze č. 0</w:t>
      </w:r>
      <w:r w:rsidRPr="006254F5">
        <w:rPr>
          <w:rFonts w:ascii="Arial" w:hAnsi="Arial"/>
          <w:sz w:val="14"/>
        </w:rPr>
        <w:t>7</w:t>
      </w:r>
      <w:bookmarkEnd w:id="0"/>
    </w:p>
    <w:sectPr w:rsidR="00E22ECD" w:rsidRPr="006254F5" w:rsidSect="0093757C">
      <w:footerReference w:type="default" r:id="rId9"/>
      <w:pgSz w:w="8392" w:h="11907" w:code="11"/>
      <w:pgMar w:top="238" w:right="567" w:bottom="284" w:left="624" w:header="57" w:footer="26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9A" w:rsidRDefault="00C10F9A">
      <w:r>
        <w:separator/>
      </w:r>
    </w:p>
  </w:endnote>
  <w:endnote w:type="continuationSeparator" w:id="0">
    <w:p w:rsidR="00C10F9A" w:rsidRDefault="00C1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9A" w:rsidRDefault="00C10F9A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1D5191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9A" w:rsidRDefault="00C10F9A">
      <w:r>
        <w:separator/>
      </w:r>
    </w:p>
  </w:footnote>
  <w:footnote w:type="continuationSeparator" w:id="0">
    <w:p w:rsidR="00C10F9A" w:rsidRDefault="00C1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6500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248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E748D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6CA691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73245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3A33602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EB24A1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53E79F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74638A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BC35D7E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1DA08B7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2295C15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6D06017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2"/>
  </w:num>
  <w:num w:numId="19">
    <w:abstractNumId w:val="3"/>
  </w:num>
  <w:num w:numId="20">
    <w:abstractNumId w:val="16"/>
  </w:num>
  <w:num w:numId="21">
    <w:abstractNumId w:val="10"/>
  </w:num>
  <w:num w:numId="22">
    <w:abstractNumId w:val="5"/>
  </w:num>
  <w:num w:numId="23">
    <w:abstractNumId w:val="10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4F"/>
    <w:rsid w:val="00034151"/>
    <w:rsid w:val="000A51F0"/>
    <w:rsid w:val="000F39F9"/>
    <w:rsid w:val="001A0188"/>
    <w:rsid w:val="001C456A"/>
    <w:rsid w:val="001D3790"/>
    <w:rsid w:val="001D5191"/>
    <w:rsid w:val="001F4BF5"/>
    <w:rsid w:val="00204B4F"/>
    <w:rsid w:val="00223CF6"/>
    <w:rsid w:val="002436D3"/>
    <w:rsid w:val="002C4C34"/>
    <w:rsid w:val="002D1B08"/>
    <w:rsid w:val="003533B9"/>
    <w:rsid w:val="003F2055"/>
    <w:rsid w:val="004C5E14"/>
    <w:rsid w:val="004D6841"/>
    <w:rsid w:val="004F5D7F"/>
    <w:rsid w:val="006254F5"/>
    <w:rsid w:val="00626A37"/>
    <w:rsid w:val="00642F4F"/>
    <w:rsid w:val="00665DE1"/>
    <w:rsid w:val="00673ED7"/>
    <w:rsid w:val="006B7F71"/>
    <w:rsid w:val="006F6AC8"/>
    <w:rsid w:val="00702E86"/>
    <w:rsid w:val="00706134"/>
    <w:rsid w:val="00781BAA"/>
    <w:rsid w:val="007A1A3E"/>
    <w:rsid w:val="007E277C"/>
    <w:rsid w:val="00816668"/>
    <w:rsid w:val="00844326"/>
    <w:rsid w:val="00860C4C"/>
    <w:rsid w:val="008A319A"/>
    <w:rsid w:val="008A3FC8"/>
    <w:rsid w:val="0093757C"/>
    <w:rsid w:val="00950B38"/>
    <w:rsid w:val="0095390E"/>
    <w:rsid w:val="00954DAD"/>
    <w:rsid w:val="00967D0A"/>
    <w:rsid w:val="009A3090"/>
    <w:rsid w:val="00A8280A"/>
    <w:rsid w:val="00A97252"/>
    <w:rsid w:val="00AA5DD9"/>
    <w:rsid w:val="00AB3DE2"/>
    <w:rsid w:val="00AC4CD9"/>
    <w:rsid w:val="00AD4FF7"/>
    <w:rsid w:val="00B506EC"/>
    <w:rsid w:val="00BA3CCA"/>
    <w:rsid w:val="00BD1DEB"/>
    <w:rsid w:val="00BD27B2"/>
    <w:rsid w:val="00C10F9A"/>
    <w:rsid w:val="00C355C1"/>
    <w:rsid w:val="00C97506"/>
    <w:rsid w:val="00CE1924"/>
    <w:rsid w:val="00D24D3F"/>
    <w:rsid w:val="00E22ECD"/>
    <w:rsid w:val="00EC0638"/>
    <w:rsid w:val="00EF5CAB"/>
    <w:rsid w:val="00F6304F"/>
    <w:rsid w:val="00F95BE8"/>
    <w:rsid w:val="00FA1FED"/>
    <w:rsid w:val="00F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0C9238"/>
  <w15:docId w15:val="{16E2E95E-84DB-4486-8407-137AC0B4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05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2055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3C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3F2055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975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97506"/>
    <w:rPr>
      <w:rFonts w:ascii="Calibri" w:hAnsi="Calibr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3F2055"/>
    <w:rPr>
      <w:rFonts w:ascii="Arial" w:hAnsi="Arial"/>
      <w:sz w:val="1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750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3F2055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3F2055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9750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3F2055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C9750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F2055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9750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3F2055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97506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3F2055"/>
    <w:pPr>
      <w:jc w:val="both"/>
    </w:pPr>
    <w:rPr>
      <w:rFonts w:ascii="Arial" w:hAnsi="Arial"/>
      <w:sz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9750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F2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97506"/>
    <w:rPr>
      <w:rFonts w:cs="Times New Roman"/>
    </w:rPr>
  </w:style>
  <w:style w:type="paragraph" w:styleId="Zpat">
    <w:name w:val="footer"/>
    <w:basedOn w:val="Normln"/>
    <w:link w:val="ZpatChar"/>
    <w:uiPriority w:val="99"/>
    <w:rsid w:val="003F2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97506"/>
    <w:rPr>
      <w:rFonts w:cs="Times New Roman"/>
    </w:rPr>
  </w:style>
  <w:style w:type="character" w:styleId="slostrnky">
    <w:name w:val="page number"/>
    <w:basedOn w:val="Standardnpsmoodstavce"/>
    <w:uiPriority w:val="99"/>
    <w:rsid w:val="003F2055"/>
    <w:rPr>
      <w:rFonts w:cs="Times New Roman"/>
    </w:rPr>
  </w:style>
  <w:style w:type="character" w:customStyle="1" w:styleId="Nadpis4Char">
    <w:name w:val="Nadpis 4 Char"/>
    <w:basedOn w:val="Standardnpsmoodstavce"/>
    <w:link w:val="Nadpis4"/>
    <w:semiHidden/>
    <w:rsid w:val="00BA3C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7582-A380-4BD6-AAD7-BC340680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957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</vt:lpstr>
    </vt:vector>
  </TitlesOfParts>
  <Company>FN Olomouc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</dc:title>
  <dc:creator>FTO</dc:creator>
  <cp:lastModifiedBy>Pištělková Alice</cp:lastModifiedBy>
  <cp:revision>4</cp:revision>
  <cp:lastPrinted>2024-06-27T12:30:00Z</cp:lastPrinted>
  <dcterms:created xsi:type="dcterms:W3CDTF">2024-06-25T05:11:00Z</dcterms:created>
  <dcterms:modified xsi:type="dcterms:W3CDTF">2024-06-27T12:33:00Z</dcterms:modified>
</cp:coreProperties>
</file>