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94" w:rsidRDefault="00DC7494">
      <w:pPr>
        <w:pStyle w:val="Nzev"/>
        <w:jc w:val="left"/>
        <w:rPr>
          <w:rFonts w:ascii="Arial Black" w:hAnsi="Arial Black"/>
          <w:b w:val="0"/>
          <w:sz w:val="20"/>
          <w:u w:val="thick"/>
        </w:rPr>
      </w:pPr>
      <w:bookmarkStart w:id="0" w:name="_GoBack"/>
      <w:bookmarkEnd w:id="0"/>
      <w:r w:rsidRPr="00DC7494">
        <w:rPr>
          <w:b w:val="0"/>
          <w:noProof/>
          <w:sz w:val="24"/>
          <w:szCs w:val="24"/>
        </w:rPr>
        <w:drawing>
          <wp:inline distT="0" distB="0" distL="0" distR="0">
            <wp:extent cx="1692000" cy="468000"/>
            <wp:effectExtent l="0" t="0" r="3810" b="8255"/>
            <wp:docPr id="4" name="Obrázek 4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EC" w:rsidRPr="00C715EC" w:rsidRDefault="00C715EC">
      <w:pPr>
        <w:pStyle w:val="Nzev"/>
        <w:jc w:val="left"/>
        <w:rPr>
          <w:rFonts w:ascii="Arial Black" w:hAnsi="Arial Black"/>
          <w:b w:val="0"/>
          <w:sz w:val="10"/>
          <w:szCs w:val="10"/>
          <w:u w:val="thick"/>
        </w:rPr>
      </w:pPr>
    </w:p>
    <w:p w:rsidR="0032023F" w:rsidRDefault="0032023F">
      <w:pPr>
        <w:pStyle w:val="Nzev"/>
        <w:jc w:val="left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 xml:space="preserve">Informace o transfuzním </w:t>
      </w:r>
      <w:proofErr w:type="gramStart"/>
      <w:r>
        <w:rPr>
          <w:rFonts w:ascii="Arial Black" w:hAnsi="Arial Black"/>
          <w:b w:val="0"/>
          <w:sz w:val="20"/>
          <w:u w:val="thick"/>
        </w:rPr>
        <w:t xml:space="preserve">přípravku - </w:t>
      </w:r>
      <w:r>
        <w:rPr>
          <w:rFonts w:ascii="Arial Black" w:hAnsi="Arial Black"/>
          <w:b w:val="0"/>
          <w:sz w:val="18"/>
          <w:u w:val="thick"/>
        </w:rPr>
        <w:t>ČTĚTE</w:t>
      </w:r>
      <w:proofErr w:type="gramEnd"/>
      <w:r>
        <w:rPr>
          <w:rFonts w:ascii="Arial Black" w:hAnsi="Arial Black"/>
          <w:b w:val="0"/>
          <w:sz w:val="18"/>
          <w:u w:val="thick"/>
        </w:rPr>
        <w:t xml:space="preserve"> POZORNĚ!</w:t>
      </w:r>
    </w:p>
    <w:p w:rsidR="0032023F" w:rsidRDefault="0032023F">
      <w:pPr>
        <w:jc w:val="center"/>
        <w:rPr>
          <w:b/>
          <w:sz w:val="16"/>
        </w:rPr>
      </w:pPr>
    </w:p>
    <w:p w:rsidR="0032023F" w:rsidRDefault="0032023F">
      <w:pPr>
        <w:pStyle w:val="Zkladntext"/>
        <w:jc w:val="both"/>
        <w:rPr>
          <w:spacing w:val="8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1D71F2">
        <w:rPr>
          <w:rFonts w:ascii="Arial Narrow" w:hAnsi="Arial Narrow"/>
          <w:spacing w:val="8"/>
          <w:sz w:val="16"/>
        </w:rPr>
        <w:t xml:space="preserve">      </w:t>
      </w:r>
      <w:r w:rsidR="00C715EC">
        <w:rPr>
          <w:rFonts w:ascii="Arial Narrow" w:hAnsi="Arial Narrow"/>
          <w:spacing w:val="8"/>
          <w:sz w:val="16"/>
        </w:rPr>
        <w:t xml:space="preserve">            </w:t>
      </w:r>
      <w:r w:rsidR="001D71F2">
        <w:rPr>
          <w:rFonts w:ascii="Arial Narrow" w:hAnsi="Arial Narrow"/>
          <w:spacing w:val="8"/>
          <w:sz w:val="16"/>
        </w:rPr>
        <w:t xml:space="preserve">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32023F" w:rsidRDefault="0032023F">
      <w:pPr>
        <w:pStyle w:val="Zkladntext"/>
        <w:jc w:val="both"/>
        <w:rPr>
          <w:rFonts w:ascii="Arial Narrow" w:hAnsi="Arial Narrow"/>
          <w:spacing w:val="8"/>
          <w:sz w:val="16"/>
        </w:rPr>
      </w:pPr>
    </w:p>
    <w:p w:rsidR="0032023F" w:rsidRDefault="0032023F">
      <w:pPr>
        <w:pStyle w:val="Zkladntext"/>
        <w:jc w:val="left"/>
        <w:rPr>
          <w:sz w:val="18"/>
        </w:rPr>
      </w:pPr>
      <w:proofErr w:type="gramStart"/>
      <w:r>
        <w:rPr>
          <w:rFonts w:ascii="Arial Black" w:hAnsi="Arial Black"/>
          <w:i w:val="0"/>
          <w:caps/>
          <w:sz w:val="16"/>
          <w:u w:val="single"/>
        </w:rPr>
        <w:t>Název:</w:t>
      </w:r>
      <w:r>
        <w:rPr>
          <w:rFonts w:ascii="Arial" w:hAnsi="Arial"/>
          <w:sz w:val="24"/>
        </w:rPr>
        <w:t xml:space="preserve">   </w:t>
      </w:r>
      <w:proofErr w:type="gramEnd"/>
      <w:r>
        <w:rPr>
          <w:rFonts w:ascii="Arial" w:hAnsi="Arial"/>
          <w:sz w:val="24"/>
        </w:rPr>
        <w:t xml:space="preserve">  </w:t>
      </w:r>
      <w:r>
        <w:rPr>
          <w:rFonts w:ascii="Arial Black" w:hAnsi="Arial Black"/>
          <w:b/>
          <w:i w:val="0"/>
          <w:caps/>
          <w:sz w:val="18"/>
        </w:rPr>
        <w:t>Erytrocyty promyté</w:t>
      </w:r>
    </w:p>
    <w:p w:rsidR="0032023F" w:rsidRPr="00C715EC" w:rsidRDefault="0032023F">
      <w:pPr>
        <w:pStyle w:val="Nadpis6"/>
        <w:tabs>
          <w:tab w:val="left" w:pos="709"/>
        </w:tabs>
        <w:rPr>
          <w:b w:val="0"/>
          <w:color w:val="auto"/>
          <w:sz w:val="12"/>
          <w:szCs w:val="12"/>
          <w:u w:val="single"/>
        </w:rPr>
      </w:pPr>
    </w:p>
    <w:p w:rsidR="0032023F" w:rsidRDefault="0032023F">
      <w:pPr>
        <w:pStyle w:val="Nadpis6"/>
        <w:tabs>
          <w:tab w:val="left" w:pos="709"/>
        </w:tabs>
        <w:rPr>
          <w:color w:val="auto"/>
          <w:sz w:val="18"/>
        </w:rPr>
      </w:pPr>
      <w:proofErr w:type="gramStart"/>
      <w:r>
        <w:rPr>
          <w:b w:val="0"/>
          <w:color w:val="auto"/>
          <w:sz w:val="16"/>
          <w:u w:val="single"/>
        </w:rPr>
        <w:t>Zkratka:</w:t>
      </w:r>
      <w:r>
        <w:rPr>
          <w:rFonts w:ascii="Times New Roman" w:hAnsi="Times New Roman"/>
          <w:color w:val="auto"/>
          <w:sz w:val="22"/>
        </w:rPr>
        <w:t xml:space="preserve">  </w:t>
      </w:r>
      <w:r>
        <w:rPr>
          <w:color w:val="auto"/>
          <w:sz w:val="18"/>
        </w:rPr>
        <w:t>Ep</w:t>
      </w:r>
      <w:proofErr w:type="gramEnd"/>
    </w:p>
    <w:p w:rsidR="0032023F" w:rsidRPr="00C715EC" w:rsidRDefault="0032023F">
      <w:pPr>
        <w:jc w:val="both"/>
        <w:rPr>
          <w:sz w:val="16"/>
          <w:szCs w:val="16"/>
        </w:rPr>
      </w:pP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</w:t>
      </w:r>
      <w:r w:rsidR="001C02D5">
        <w:rPr>
          <w:rFonts w:ascii="Arial" w:hAnsi="Arial"/>
          <w:sz w:val="14"/>
        </w:rPr>
        <w:t xml:space="preserve"> </w:t>
      </w:r>
      <w:r w:rsidR="001C02D5" w:rsidRPr="00DC7494">
        <w:rPr>
          <w:rFonts w:ascii="Arial" w:hAnsi="Arial"/>
          <w:sz w:val="14"/>
        </w:rPr>
        <w:t>Zdravotníků 248/7</w:t>
      </w:r>
      <w:r>
        <w:rPr>
          <w:rFonts w:ascii="Arial" w:hAnsi="Arial"/>
          <w:sz w:val="14"/>
        </w:rPr>
        <w:t>, 779 00 Olomouc – C 2059.</w:t>
      </w:r>
    </w:p>
    <w:p w:rsidR="0032023F" w:rsidRDefault="0032023F">
      <w:pPr>
        <w:jc w:val="both"/>
        <w:rPr>
          <w:caps/>
          <w:sz w:val="14"/>
        </w:rPr>
      </w:pP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32023F" w:rsidRDefault="0032023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koncentrát erytrocytů,</w:t>
      </w:r>
    </w:p>
    <w:p w:rsidR="0032023F" w:rsidRDefault="0032023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antikoagulační roztok CPD,</w:t>
      </w:r>
    </w:p>
    <w:p w:rsidR="0032023F" w:rsidRDefault="0032023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resuspenzní</w:t>
      </w:r>
      <w:proofErr w:type="spellEnd"/>
      <w:r>
        <w:rPr>
          <w:rFonts w:ascii="Arial" w:hAnsi="Arial"/>
          <w:sz w:val="14"/>
        </w:rPr>
        <w:t xml:space="preserve"> roztok SAGM 100 ml,</w:t>
      </w:r>
    </w:p>
    <w:p w:rsidR="0032023F" w:rsidRDefault="0032023F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>hematokrit: 0,65 – 0,75,</w:t>
      </w:r>
    </w:p>
    <w:p w:rsidR="0032023F" w:rsidRDefault="0032023F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 xml:space="preserve">hemoglobin: minimálně 40 g/T.U., </w:t>
      </w:r>
    </w:p>
    <w:p w:rsidR="0032023F" w:rsidRDefault="0032023F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 xml:space="preserve">obsah bílkovin konečného </w:t>
      </w:r>
      <w:proofErr w:type="spellStart"/>
      <w:r>
        <w:t>supernatantu</w:t>
      </w:r>
      <w:proofErr w:type="spellEnd"/>
      <w:r>
        <w:t xml:space="preserve">: nižší než 0,5 </w:t>
      </w:r>
      <w:r w:rsidRPr="006D3411">
        <w:t>g</w:t>
      </w:r>
      <w:r>
        <w:t>/T.U.</w:t>
      </w:r>
    </w:p>
    <w:p w:rsidR="0032023F" w:rsidRDefault="0032023F">
      <w:pPr>
        <w:pStyle w:val="Zkladntextodsazen3"/>
        <w:ind w:left="0"/>
        <w:jc w:val="both"/>
      </w:pPr>
    </w:p>
    <w:p w:rsidR="0032023F" w:rsidRDefault="0032023F">
      <w:pPr>
        <w:jc w:val="both"/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Default="0032023F" w:rsidP="007A17A4">
      <w:pPr>
        <w:jc w:val="both"/>
        <w:rPr>
          <w:rFonts w:ascii="Arial" w:hAnsi="Arial"/>
          <w:sz w:val="14"/>
        </w:rPr>
      </w:pPr>
      <w:r w:rsidRPr="007A17A4">
        <w:rPr>
          <w:rFonts w:ascii="Arial" w:hAnsi="Arial"/>
          <w:b/>
          <w:sz w:val="14"/>
          <w:u w:val="single"/>
        </w:rPr>
        <w:t>Kód</w:t>
      </w:r>
      <w:r w:rsidR="00DC7494">
        <w:rPr>
          <w:rFonts w:ascii="Arial" w:hAnsi="Arial"/>
          <w:b/>
          <w:sz w:val="14"/>
          <w:u w:val="single"/>
        </w:rPr>
        <w:t>:</w:t>
      </w:r>
      <w:r>
        <w:rPr>
          <w:rFonts w:ascii="Arial" w:hAnsi="Arial"/>
          <w:sz w:val="14"/>
        </w:rPr>
        <w:t xml:space="preserve"> 0007955 + 0107949</w:t>
      </w:r>
    </w:p>
    <w:p w:rsidR="0032023F" w:rsidRPr="007A17A4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</w:t>
      </w:r>
    </w:p>
    <w:p w:rsidR="0032023F" w:rsidRDefault="0032023F">
      <w:pPr>
        <w:jc w:val="both"/>
        <w:rPr>
          <w:rFonts w:ascii="Arial" w:hAnsi="Arial"/>
          <w:snapToGrid w:val="0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32023F" w:rsidRDefault="0032023F">
      <w:pPr>
        <w:jc w:val="both"/>
        <w:rPr>
          <w:rFonts w:ascii="Arial" w:hAnsi="Arial"/>
          <w:sz w:val="14"/>
        </w:rPr>
      </w:pPr>
      <w:r w:rsidRPr="00C715EC">
        <w:rPr>
          <w:rFonts w:ascii="Arial" w:hAnsi="Arial"/>
          <w:sz w:val="14"/>
        </w:rPr>
        <w:t xml:space="preserve">EP je koncentrát erytrocytů získaný z plné krve odstředěním, odstraněním plazmy a </w:t>
      </w:r>
      <w:proofErr w:type="spellStart"/>
      <w:r w:rsidRPr="00C715EC">
        <w:rPr>
          <w:rFonts w:ascii="Arial" w:hAnsi="Arial"/>
          <w:sz w:val="14"/>
        </w:rPr>
        <w:t>buffy-coatu</w:t>
      </w:r>
      <w:proofErr w:type="spellEnd"/>
      <w:r w:rsidRPr="00C715EC">
        <w:rPr>
          <w:rFonts w:ascii="Arial" w:hAnsi="Arial"/>
          <w:sz w:val="14"/>
        </w:rPr>
        <w:t xml:space="preserve"> (= vrstvy leukocytů a trombocytů) s následným opakovaným promytím erytrocytů fyziologickým roztokem nebo koncentrát erytrocytů získaný z plné krve in-line filtrované odstředěním, odstraněním plazmy s následným opakovaným promytím erytrocytů fyziologickým roztokem. </w:t>
      </w:r>
      <w:r>
        <w:rPr>
          <w:rFonts w:ascii="Arial" w:hAnsi="Arial"/>
          <w:sz w:val="14"/>
        </w:rPr>
        <w:t xml:space="preserve">Procesem promytí fyziologickým roztokem dojde ke snížení obsahu plazmatických bílkovin konečného </w:t>
      </w:r>
      <w:proofErr w:type="spellStart"/>
      <w:r>
        <w:rPr>
          <w:rFonts w:ascii="Arial" w:hAnsi="Arial"/>
          <w:sz w:val="14"/>
        </w:rPr>
        <w:t>supernatantu</w:t>
      </w:r>
      <w:proofErr w:type="spellEnd"/>
      <w:r>
        <w:rPr>
          <w:rFonts w:ascii="Arial" w:hAnsi="Arial"/>
          <w:sz w:val="14"/>
        </w:rPr>
        <w:t>.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Pr="004D3F46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sz w:val="14"/>
        </w:rPr>
        <w:tab/>
        <w:t>1 T.U.: 280 ml ± 50 ml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Indikace:</w:t>
      </w:r>
    </w:p>
    <w:p w:rsidR="0032023F" w:rsidRDefault="0032023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substituce či náhrada erytrocytů u nemocných s protilátkami proti plazmatickým bílkovinám, obzvláště proti </w:t>
      </w:r>
      <w:proofErr w:type="spellStart"/>
      <w:r>
        <w:rPr>
          <w:rFonts w:ascii="Arial" w:hAnsi="Arial"/>
          <w:sz w:val="14"/>
        </w:rPr>
        <w:t>IgA</w:t>
      </w:r>
      <w:proofErr w:type="spellEnd"/>
      <w:r>
        <w:rPr>
          <w:rFonts w:ascii="Arial" w:hAnsi="Arial"/>
          <w:sz w:val="14"/>
        </w:rPr>
        <w:t>,</w:t>
      </w:r>
    </w:p>
    <w:p w:rsidR="0032023F" w:rsidRDefault="0032023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b/>
          <w:sz w:val="14"/>
          <w:u w:val="single"/>
        </w:rPr>
      </w:pPr>
      <w:r>
        <w:rPr>
          <w:rFonts w:ascii="Arial" w:hAnsi="Arial"/>
          <w:sz w:val="14"/>
        </w:rPr>
        <w:t>při výskytu těžké alergické reakce v anamnéze v souvislosti s aplikací transfuzního přípravku.</w:t>
      </w:r>
    </w:p>
    <w:p w:rsidR="0032023F" w:rsidRDefault="0032023F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32023F" w:rsidRDefault="0032023F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32023F" w:rsidRDefault="0032023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relativní hypervolémie,</w:t>
      </w:r>
    </w:p>
    <w:p w:rsidR="0032023F" w:rsidRDefault="0032023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 případech, kde lze dosáhnout normalizace krevního obrazu jiným způsobem léčby.</w:t>
      </w:r>
    </w:p>
    <w:p w:rsidR="0032023F" w:rsidRDefault="0032023F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oběhové přetížení,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hemolytická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proti HLA a erytrocytovým antigenům,</w:t>
      </w:r>
    </w:p>
    <w:p w:rsidR="0032023F" w:rsidRDefault="0032023F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dárců       </w:t>
      </w:r>
      <w:r w:rsidR="00C715EC">
        <w:rPr>
          <w:rFonts w:ascii="Arial" w:hAnsi="Arial"/>
          <w:sz w:val="14"/>
        </w:rPr>
        <w:t xml:space="preserve">               </w:t>
      </w:r>
      <w:r>
        <w:rPr>
          <w:rFonts w:ascii="Arial" w:hAnsi="Arial"/>
          <w:sz w:val="14"/>
        </w:rPr>
        <w:t>a screeningová vyšetření,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biochemické odchylky při masivní transfuzi, např. </w:t>
      </w:r>
      <w:proofErr w:type="spellStart"/>
      <w:r>
        <w:rPr>
          <w:rFonts w:ascii="Arial" w:hAnsi="Arial"/>
          <w:sz w:val="14"/>
        </w:rPr>
        <w:t>hyperkalémie</w:t>
      </w:r>
      <w:proofErr w:type="spellEnd"/>
      <w:r>
        <w:rPr>
          <w:rFonts w:ascii="Arial" w:hAnsi="Arial"/>
          <w:sz w:val="14"/>
        </w:rPr>
        <w:t>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32023F" w:rsidRDefault="0032023F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Dávkování určuje lékař. Obvykle se krevní transfuze podává při klinických známkách nedostatečného sycení kyslíkem. Jedna transfuzní jednotka EP zlepšuje hematokrit u dospělého přibližně o 0,2. Při náhlém krvácení se nejdříve podávají krystaloidy, koloidy a krevní transfuze až následně.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Přípravek se musí podávat intravenózně přes filtr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vnějšího vzhledu přípravku se zaměřením na možnou hemolýzu, sraženiny a neporušenost obalu.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Kontrola dokumentace, čísla a typu transfuzního přípravku, doby použitelnosti, skupiny v AB0 a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systému.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Provést povinnou zajišťovací zkoušku. 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Před a po transfuzi zkontrolovat u pacienta TK, puls, tělesnou teplotu.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Při začátku transfuze provést biologickou zkoušku dle klinické potřeby.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Po ukončení transfuze ponechat zbytek přípravku (nejméně 10 ml) ve vaku na dobu 24 hodin v chladničce.</w:t>
      </w: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Upozornění: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Kompatibilita přípravku s uvažovaným příjemcem se musí ověřit povinným </w:t>
      </w:r>
      <w:proofErr w:type="spellStart"/>
      <w:r>
        <w:rPr>
          <w:rFonts w:ascii="Arial" w:hAnsi="Arial"/>
          <w:color w:val="auto"/>
          <w:sz w:val="14"/>
          <w:lang w:val="cs-CZ"/>
        </w:rPr>
        <w:t>předtransfuzním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      vyšetřením.</w:t>
      </w:r>
      <w:r>
        <w:rPr>
          <w:lang w:val="cs-CZ"/>
        </w:rPr>
        <w:t xml:space="preserve"> </w:t>
      </w:r>
      <w:r>
        <w:rPr>
          <w:rFonts w:ascii="Arial" w:hAnsi="Arial"/>
          <w:color w:val="auto"/>
          <w:sz w:val="14"/>
          <w:lang w:val="cs-CZ"/>
        </w:rPr>
        <w:t>Toto vyšetření platí pouze 72 hodin, pak je nutno vyšetření zopakovat.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lze vrátit zpět na transfuzní oddělení (krevní banku) pouze výjimečně, a to po předchozí domluvě.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transfuze, vzniklé během transfuze i po ní nebo podezření na ně.</w:t>
      </w:r>
    </w:p>
    <w:p w:rsidR="0032023F" w:rsidRPr="007A17A4" w:rsidRDefault="0032023F" w:rsidP="007A17A4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7A17A4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7A17A4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7A17A4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7A17A4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7A17A4">
        <w:rPr>
          <w:rFonts w:ascii="Arial" w:hAnsi="Arial" w:cs="Arial"/>
          <w:color w:val="auto"/>
          <w:sz w:val="14"/>
          <w:szCs w:val="14"/>
          <w:lang w:val="cs-CZ"/>
        </w:rPr>
        <w:t>§ 3) ukládá zdravotnickému zařízení podávající transfuzi (lékař) povinnost oznámit na SÚKL závažnou nežádoucí reakci u příjemce nebo podezření na ni, přičemž se jedná 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7A17A4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32023F" w:rsidRDefault="0032023F" w:rsidP="007A17A4">
      <w:pPr>
        <w:pStyle w:val="Zkladntextodsazen"/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</w:p>
    <w:p w:rsidR="0032023F" w:rsidRDefault="0032023F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Uchovávání:</w:t>
      </w:r>
      <w:r>
        <w:rPr>
          <w:rFonts w:ascii="Arial" w:hAnsi="Arial"/>
          <w:sz w:val="14"/>
        </w:rPr>
        <w:t xml:space="preserve"> 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lednici při kontrolované teplotě +</w:t>
      </w:r>
      <w:smartTag w:uri="urn:schemas-microsoft-com:office:smarttags" w:element="metricconverter">
        <w:smartTagPr>
          <w:attr w:name="ProductID" w:val="2 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+6 </w:t>
      </w:r>
      <w:r>
        <w:rPr>
          <w:rFonts w:ascii="Arial" w:hAnsi="Arial"/>
          <w:sz w:val="14"/>
          <w:szCs w:val="14"/>
        </w:rPr>
        <w:sym w:font="Symbol" w:char="F0B0"/>
      </w:r>
      <w:r>
        <w:rPr>
          <w:rFonts w:ascii="Arial" w:hAnsi="Arial"/>
          <w:sz w:val="14"/>
        </w:rPr>
        <w:t>C. Doba uchovávání po promytí by měla být co nejkratší, maximálně 24 hodin.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i/>
          <w:sz w:val="14"/>
        </w:rPr>
        <w:t>Doba použitelnosti je 24 hodin a je uvedena na štítku transfuzního přípravku</w:t>
      </w:r>
      <w:r>
        <w:rPr>
          <w:rFonts w:ascii="Arial" w:hAnsi="Arial"/>
          <w:sz w:val="14"/>
        </w:rPr>
        <w:t>.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Balení: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 jedné jednotky odebrané plné krve.</w:t>
      </w:r>
    </w:p>
    <w:p w:rsidR="0032023F" w:rsidRDefault="0032023F">
      <w:pPr>
        <w:pStyle w:val="Zkladntext3"/>
        <w:rPr>
          <w:rFonts w:ascii="Arial" w:hAnsi="Arial"/>
          <w:sz w:val="14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Transport:</w:t>
      </w:r>
    </w:p>
    <w:p w:rsidR="00E83762" w:rsidRPr="00E83762" w:rsidRDefault="0032023F" w:rsidP="00E83762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E83762">
        <w:rPr>
          <w:rFonts w:ascii="Arial" w:hAnsi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E83762" w:rsidRPr="00E83762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</w:t>
      </w:r>
      <w:r w:rsidR="001D71F2">
        <w:rPr>
          <w:rFonts w:ascii="Arial" w:hAnsi="Arial" w:cs="Arial"/>
          <w:b w:val="0"/>
          <w:i w:val="0"/>
          <w:color w:val="auto"/>
          <w:sz w:val="14"/>
        </w:rPr>
        <w:t xml:space="preserve">  </w:t>
      </w:r>
      <w:r w:rsidR="00C715EC">
        <w:rPr>
          <w:rFonts w:ascii="Arial" w:hAnsi="Arial" w:cs="Arial"/>
          <w:b w:val="0"/>
          <w:i w:val="0"/>
          <w:color w:val="auto"/>
          <w:sz w:val="14"/>
        </w:rPr>
        <w:t xml:space="preserve">       </w:t>
      </w:r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 xml:space="preserve">+10,4 °C) pokud je doba transportu maximálně 24 hodin, při době transportu &gt;24 hodin se </w:t>
      </w:r>
      <w:proofErr w:type="spellStart"/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>erytrocytární</w:t>
      </w:r>
      <w:proofErr w:type="spellEnd"/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 xml:space="preserve"> TP transportují při teplotě +</w:t>
      </w:r>
      <w:smartTag w:uri="urn:schemas-microsoft-com:office:smarttags" w:element="metricconverter">
        <w:smartTagPr>
          <w:attr w:name="ProductID" w:val="2 °C"/>
        </w:smartTagPr>
        <w:r w:rsidR="00E83762" w:rsidRPr="00E83762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32023F" w:rsidRDefault="0032023F" w:rsidP="00E83762">
      <w:pPr>
        <w:jc w:val="both"/>
        <w:rPr>
          <w:rFonts w:ascii="Arial" w:hAnsi="Arial"/>
          <w:b/>
          <w:sz w:val="14"/>
        </w:rPr>
      </w:pPr>
    </w:p>
    <w:p w:rsidR="0032023F" w:rsidRDefault="0032023F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Datum poslední revize:</w:t>
      </w:r>
    </w:p>
    <w:p w:rsidR="0032023F" w:rsidRPr="00C715EC" w:rsidRDefault="001C02D5" w:rsidP="00C715EC">
      <w:pPr>
        <w:pStyle w:val="Zkladntextodsazen"/>
        <w:jc w:val="both"/>
        <w:rPr>
          <w:color w:val="auto"/>
        </w:rPr>
      </w:pPr>
      <w:proofErr w:type="gramStart"/>
      <w:r w:rsidRPr="00C715EC">
        <w:rPr>
          <w:rFonts w:ascii="Arial" w:hAnsi="Arial"/>
          <w:color w:val="auto"/>
          <w:sz w:val="14"/>
          <w:lang w:val="cs-CZ"/>
        </w:rPr>
        <w:t>Červ</w:t>
      </w:r>
      <w:r w:rsidR="001D71F2" w:rsidRPr="00C715EC">
        <w:rPr>
          <w:rFonts w:ascii="Arial" w:hAnsi="Arial"/>
          <w:color w:val="auto"/>
          <w:sz w:val="14"/>
          <w:lang w:val="cs-CZ"/>
        </w:rPr>
        <w:t>en</w:t>
      </w:r>
      <w:proofErr w:type="gramEnd"/>
      <w:r w:rsidR="0032023F" w:rsidRPr="00C715EC">
        <w:rPr>
          <w:rFonts w:ascii="Arial" w:hAnsi="Arial"/>
          <w:color w:val="auto"/>
          <w:sz w:val="14"/>
          <w:lang w:val="cs-CZ"/>
        </w:rPr>
        <w:t xml:space="preserve"> 20</w:t>
      </w:r>
      <w:r w:rsidRPr="00C715EC">
        <w:rPr>
          <w:rFonts w:ascii="Arial" w:hAnsi="Arial"/>
          <w:color w:val="auto"/>
          <w:sz w:val="14"/>
          <w:lang w:val="cs-CZ"/>
        </w:rPr>
        <w:t>24</w:t>
      </w:r>
      <w:r w:rsidR="0032023F" w:rsidRPr="00C715EC">
        <w:rPr>
          <w:rFonts w:ascii="Arial" w:hAnsi="Arial"/>
          <w:color w:val="auto"/>
          <w:sz w:val="14"/>
          <w:lang w:val="cs-CZ"/>
        </w:rPr>
        <w:t xml:space="preserve"> – verze č. 0</w:t>
      </w:r>
      <w:r w:rsidRPr="00C715EC">
        <w:rPr>
          <w:rFonts w:ascii="Arial" w:hAnsi="Arial"/>
          <w:color w:val="auto"/>
          <w:sz w:val="14"/>
          <w:lang w:val="cs-CZ"/>
        </w:rPr>
        <w:t>7</w:t>
      </w:r>
    </w:p>
    <w:sectPr w:rsidR="0032023F" w:rsidRPr="00C715EC" w:rsidSect="00C715EC">
      <w:footerReference w:type="default" r:id="rId8"/>
      <w:pgSz w:w="8392" w:h="11907" w:code="11"/>
      <w:pgMar w:top="567" w:right="851" w:bottom="709" w:left="851" w:header="227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3F" w:rsidRDefault="0032023F">
      <w:r>
        <w:separator/>
      </w:r>
    </w:p>
  </w:endnote>
  <w:endnote w:type="continuationSeparator" w:id="0">
    <w:p w:rsidR="0032023F" w:rsidRDefault="0032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3F" w:rsidRDefault="00D45D61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32023F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1D71F2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 w:rsidR="0032023F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32023F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1D71F2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3F" w:rsidRDefault="0032023F">
      <w:r>
        <w:separator/>
      </w:r>
    </w:p>
  </w:footnote>
  <w:footnote w:type="continuationSeparator" w:id="0">
    <w:p w:rsidR="0032023F" w:rsidRDefault="0032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64EC7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465D5"/>
    <w:multiLevelType w:val="hybridMultilevel"/>
    <w:tmpl w:val="C526F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0309"/>
    <w:multiLevelType w:val="multilevel"/>
    <w:tmpl w:val="239ECF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3245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65CAD"/>
    <w:multiLevelType w:val="multilevel"/>
    <w:tmpl w:val="69BA5A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53E79F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555140C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6"/>
  </w:num>
  <w:num w:numId="17">
    <w:abstractNumId w:val="9"/>
  </w:num>
  <w:num w:numId="18">
    <w:abstractNumId w:val="10"/>
  </w:num>
  <w:num w:numId="19">
    <w:abstractNumId w:val="12"/>
  </w:num>
  <w:num w:numId="20">
    <w:abstractNumId w:val="13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EA"/>
    <w:rsid w:val="000414B1"/>
    <w:rsid w:val="001B7DC1"/>
    <w:rsid w:val="001C02D5"/>
    <w:rsid w:val="001D71F2"/>
    <w:rsid w:val="001F38D3"/>
    <w:rsid w:val="00236254"/>
    <w:rsid w:val="00236D28"/>
    <w:rsid w:val="002E49FD"/>
    <w:rsid w:val="0032023F"/>
    <w:rsid w:val="003525ED"/>
    <w:rsid w:val="003729F1"/>
    <w:rsid w:val="003C5C3D"/>
    <w:rsid w:val="0048705B"/>
    <w:rsid w:val="004D3F46"/>
    <w:rsid w:val="004D6841"/>
    <w:rsid w:val="004E673C"/>
    <w:rsid w:val="00590DD2"/>
    <w:rsid w:val="0068768E"/>
    <w:rsid w:val="006B0026"/>
    <w:rsid w:val="006D3411"/>
    <w:rsid w:val="00791F38"/>
    <w:rsid w:val="007A17A4"/>
    <w:rsid w:val="00845312"/>
    <w:rsid w:val="00846FB1"/>
    <w:rsid w:val="00A853B5"/>
    <w:rsid w:val="00AB4417"/>
    <w:rsid w:val="00AD6E3B"/>
    <w:rsid w:val="00AD7402"/>
    <w:rsid w:val="00B07BBA"/>
    <w:rsid w:val="00B318D4"/>
    <w:rsid w:val="00B45FFF"/>
    <w:rsid w:val="00C07E10"/>
    <w:rsid w:val="00C10DE0"/>
    <w:rsid w:val="00C33EEA"/>
    <w:rsid w:val="00C715EC"/>
    <w:rsid w:val="00CC6EAC"/>
    <w:rsid w:val="00D116AE"/>
    <w:rsid w:val="00D42A42"/>
    <w:rsid w:val="00D45D61"/>
    <w:rsid w:val="00DA6588"/>
    <w:rsid w:val="00DC7494"/>
    <w:rsid w:val="00E12D1F"/>
    <w:rsid w:val="00E81F4C"/>
    <w:rsid w:val="00E83762"/>
    <w:rsid w:val="00ED1C1D"/>
    <w:rsid w:val="00F41778"/>
    <w:rsid w:val="00F5534C"/>
    <w:rsid w:val="00F80BAE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E6E9CA4-EDD2-4396-94E3-B699B76E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7402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D7402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E837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AD7402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525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525ED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AD7402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525ED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AD7402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AD7402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25ED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AD7402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3525E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AD7402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525ED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AD7402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525ED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AD7402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525ED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AD7402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525ED"/>
    <w:rPr>
      <w:rFonts w:cs="Times New Roman"/>
    </w:rPr>
  </w:style>
  <w:style w:type="paragraph" w:styleId="Zhlav">
    <w:name w:val="header"/>
    <w:basedOn w:val="Normln"/>
    <w:link w:val="ZhlavChar"/>
    <w:uiPriority w:val="99"/>
    <w:rsid w:val="00AD74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5ED"/>
    <w:rPr>
      <w:rFonts w:cs="Times New Roman"/>
    </w:rPr>
  </w:style>
  <w:style w:type="paragraph" w:styleId="Zpat">
    <w:name w:val="footer"/>
    <w:basedOn w:val="Normln"/>
    <w:link w:val="ZpatChar"/>
    <w:uiPriority w:val="99"/>
    <w:rsid w:val="00AD7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25ED"/>
    <w:rPr>
      <w:rFonts w:cs="Times New Roman"/>
    </w:rPr>
  </w:style>
  <w:style w:type="character" w:styleId="slostrnky">
    <w:name w:val="page number"/>
    <w:basedOn w:val="Standardnpsmoodstavce"/>
    <w:uiPriority w:val="99"/>
    <w:rsid w:val="00AD740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E6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1F4C"/>
    <w:rPr>
      <w:rFonts w:cs="Times New Roman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E837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5063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transfúzním přípravku - ČTĚTE POZORNĚ</vt:lpstr>
    </vt:vector>
  </TitlesOfParts>
  <Company>FN Olomouc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- ČTĚTE POZORNĚ</dc:title>
  <dc:creator>FTO</dc:creator>
  <cp:lastModifiedBy>Pištělková Alice</cp:lastModifiedBy>
  <cp:revision>2</cp:revision>
  <cp:lastPrinted>2024-06-28T08:19:00Z</cp:lastPrinted>
  <dcterms:created xsi:type="dcterms:W3CDTF">2024-07-08T08:42:00Z</dcterms:created>
  <dcterms:modified xsi:type="dcterms:W3CDTF">2024-07-08T08:42:00Z</dcterms:modified>
</cp:coreProperties>
</file>